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81" w:rsidRPr="0085136E" w:rsidRDefault="00604E81" w:rsidP="00604E81">
      <w:pPr>
        <w:jc w:val="center"/>
        <w:rPr>
          <w:rFonts w:ascii="Arial" w:hAnsi="Arial" w:cs="Arial"/>
        </w:rPr>
      </w:pPr>
      <w:r w:rsidRPr="0085136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E37556A" wp14:editId="4BD47D94">
            <wp:simplePos x="0" y="0"/>
            <wp:positionH relativeFrom="column">
              <wp:posOffset>2861945</wp:posOffset>
            </wp:positionH>
            <wp:positionV relativeFrom="paragraph">
              <wp:posOffset>-320040</wp:posOffset>
            </wp:positionV>
            <wp:extent cx="552450" cy="6477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81" w:rsidRPr="0085136E" w:rsidRDefault="00604E81" w:rsidP="00604E81">
      <w:pPr>
        <w:jc w:val="center"/>
        <w:rPr>
          <w:rFonts w:ascii="Arial" w:hAnsi="Arial" w:cs="Arial"/>
        </w:rPr>
      </w:pPr>
    </w:p>
    <w:p w:rsidR="00604E81" w:rsidRPr="0085136E" w:rsidRDefault="00604E81" w:rsidP="00604E81">
      <w:pPr>
        <w:jc w:val="center"/>
        <w:rPr>
          <w:rFonts w:ascii="Arial" w:hAnsi="Arial" w:cs="Arial"/>
        </w:rPr>
      </w:pPr>
      <w:r w:rsidRPr="0085136E">
        <w:rPr>
          <w:rFonts w:ascii="Arial" w:hAnsi="Arial" w:cs="Arial"/>
        </w:rPr>
        <w:t xml:space="preserve"> Администрация Холязинского сельсовета</w:t>
      </w:r>
    </w:p>
    <w:p w:rsidR="00604E81" w:rsidRPr="0085136E" w:rsidRDefault="00604E81" w:rsidP="00604E81">
      <w:pPr>
        <w:jc w:val="center"/>
        <w:rPr>
          <w:rFonts w:ascii="Arial" w:hAnsi="Arial" w:cs="Arial"/>
        </w:rPr>
      </w:pPr>
      <w:r w:rsidRPr="0085136E">
        <w:rPr>
          <w:rFonts w:ascii="Arial" w:hAnsi="Arial" w:cs="Arial"/>
        </w:rPr>
        <w:t xml:space="preserve">Большемурашкинского муниципального района </w:t>
      </w:r>
    </w:p>
    <w:p w:rsidR="00604E81" w:rsidRPr="0085136E" w:rsidRDefault="00604E81" w:rsidP="00604E81">
      <w:pPr>
        <w:jc w:val="center"/>
        <w:rPr>
          <w:rFonts w:ascii="Arial" w:hAnsi="Arial" w:cs="Arial"/>
        </w:rPr>
      </w:pPr>
      <w:r w:rsidRPr="0085136E">
        <w:rPr>
          <w:rFonts w:ascii="Arial" w:hAnsi="Arial" w:cs="Arial"/>
        </w:rPr>
        <w:t xml:space="preserve">Нижегородской области </w:t>
      </w:r>
    </w:p>
    <w:p w:rsidR="00604E81" w:rsidRPr="0085136E" w:rsidRDefault="00604E81" w:rsidP="00604E8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</w:rPr>
      </w:pPr>
      <w:r w:rsidRPr="0085136E">
        <w:rPr>
          <w:rFonts w:ascii="Arial" w:hAnsi="Arial" w:cs="Arial"/>
          <w:b/>
          <w:bCs/>
          <w:kern w:val="32"/>
        </w:rPr>
        <w:t>ПОСТАНОВЛЕНИЕ</w:t>
      </w:r>
    </w:p>
    <w:p w:rsidR="00604E81" w:rsidRPr="0085136E" w:rsidRDefault="00604E81" w:rsidP="00604E81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267D7" wp14:editId="55B66B1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4765" t="19685" r="22860" b="279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XCTwIAAFs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" strokeweight="3pt"/>
            </w:pict>
          </mc:Fallback>
        </mc:AlternateContent>
      </w:r>
      <w:r w:rsidRPr="008513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8005D" wp14:editId="4972DEE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5715" t="1016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PKyQRVOAgAAWg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604E81" w:rsidRPr="0085136E" w:rsidRDefault="00B239B8" w:rsidP="00604E81">
      <w:pPr>
        <w:rPr>
          <w:rFonts w:ascii="Arial" w:hAnsi="Arial" w:cs="Arial"/>
          <w:b/>
        </w:rPr>
      </w:pPr>
      <w:r>
        <w:rPr>
          <w:rFonts w:ascii="Arial" w:hAnsi="Arial" w:cs="Arial"/>
        </w:rPr>
        <w:t>03.06.2022</w:t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</w:r>
      <w:r w:rsidR="00604E81" w:rsidRPr="0085136E">
        <w:rPr>
          <w:rFonts w:ascii="Arial" w:hAnsi="Arial" w:cs="Arial"/>
        </w:rPr>
        <w:tab/>
        <w:t xml:space="preserve">              </w:t>
      </w:r>
      <w:r w:rsidR="008A6ABB" w:rsidRPr="0085136E">
        <w:rPr>
          <w:rFonts w:ascii="Arial" w:hAnsi="Arial" w:cs="Arial"/>
        </w:rPr>
        <w:t xml:space="preserve">                          </w:t>
      </w:r>
      <w:r w:rsidR="00604E81" w:rsidRPr="0085136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24</w:t>
      </w:r>
    </w:p>
    <w:p w:rsidR="00604E81" w:rsidRPr="0085136E" w:rsidRDefault="00604E81" w:rsidP="00604E81">
      <w:pPr>
        <w:jc w:val="center"/>
        <w:rPr>
          <w:rFonts w:ascii="Arial" w:hAnsi="Arial" w:cs="Arial"/>
          <w:b/>
        </w:rPr>
      </w:pPr>
      <w:r w:rsidRPr="0085136E">
        <w:rPr>
          <w:rFonts w:ascii="Arial" w:hAnsi="Arial" w:cs="Arial"/>
          <w:b/>
        </w:rPr>
        <w:t>О проведении публичных слушаний по</w:t>
      </w:r>
    </w:p>
    <w:p w:rsidR="00604E81" w:rsidRPr="0085136E" w:rsidRDefault="00604E81" w:rsidP="00604E81">
      <w:pPr>
        <w:jc w:val="center"/>
        <w:rPr>
          <w:rFonts w:ascii="Arial" w:hAnsi="Arial" w:cs="Arial"/>
          <w:b/>
        </w:rPr>
      </w:pPr>
      <w:r w:rsidRPr="0085136E">
        <w:rPr>
          <w:rFonts w:ascii="Arial" w:hAnsi="Arial" w:cs="Arial"/>
          <w:b/>
        </w:rPr>
        <w:t xml:space="preserve">проекту решения сельского Совета Холязинского сельсовета  </w:t>
      </w:r>
    </w:p>
    <w:p w:rsidR="00604E81" w:rsidRPr="0085136E" w:rsidRDefault="00604E81" w:rsidP="00604E81">
      <w:pPr>
        <w:jc w:val="center"/>
        <w:rPr>
          <w:rFonts w:ascii="Arial" w:hAnsi="Arial" w:cs="Arial"/>
          <w:b/>
        </w:rPr>
      </w:pPr>
      <w:r w:rsidRPr="0085136E">
        <w:rPr>
          <w:rFonts w:ascii="Arial" w:hAnsi="Arial" w:cs="Arial"/>
          <w:b/>
        </w:rPr>
        <w:t>Большемурашкинского муниципального района Нижегородской области</w:t>
      </w:r>
    </w:p>
    <w:p w:rsidR="00604E81" w:rsidRPr="0085136E" w:rsidRDefault="00604E81" w:rsidP="00604E81">
      <w:pPr>
        <w:jc w:val="center"/>
        <w:rPr>
          <w:rFonts w:ascii="Arial" w:hAnsi="Arial" w:cs="Arial"/>
          <w:b/>
        </w:rPr>
      </w:pPr>
      <w:r w:rsidRPr="0085136E">
        <w:rPr>
          <w:rFonts w:ascii="Arial" w:hAnsi="Arial" w:cs="Arial"/>
          <w:b/>
        </w:rPr>
        <w:t>«Об утверждении отчета об исполнении бюджета Холязинского сельсовета Большемурашкинского района Нижегородской области за 20</w:t>
      </w:r>
      <w:r w:rsidR="00344D6B" w:rsidRPr="0085136E">
        <w:rPr>
          <w:rFonts w:ascii="Arial" w:hAnsi="Arial" w:cs="Arial"/>
          <w:b/>
        </w:rPr>
        <w:t>20</w:t>
      </w:r>
      <w:r w:rsidR="00061183" w:rsidRPr="0085136E">
        <w:rPr>
          <w:rFonts w:ascii="Arial" w:hAnsi="Arial" w:cs="Arial"/>
          <w:b/>
        </w:rPr>
        <w:t xml:space="preserve"> </w:t>
      </w:r>
      <w:r w:rsidRPr="0085136E">
        <w:rPr>
          <w:rFonts w:ascii="Arial" w:hAnsi="Arial" w:cs="Arial"/>
          <w:b/>
        </w:rPr>
        <w:t>год»</w:t>
      </w:r>
    </w:p>
    <w:p w:rsidR="001B5268" w:rsidRPr="0085136E" w:rsidRDefault="00604E81" w:rsidP="00604E81">
      <w:pPr>
        <w:shd w:val="clear" w:color="auto" w:fill="FFFFFF"/>
        <w:spacing w:before="298"/>
        <w:ind w:left="-567"/>
        <w:jc w:val="both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  В соответствии с п.3 ст.28 Федерального закона  от 06.10.2003 года № 131-ФЗ «Об общих принципах организации  местного самоуправления в Российской Федерации», п.3 ст.18 Устава Холязинского сельсовета Большемурашкинского муниципального района Нижегородской области, статьями 21-25 Положения «О бюджетном процессе в Холязинском сельсовете Большемурашкинского муниципального района», утвержденного решением сельского Совета Холязинского сельсовета от 15.10.2014 года № 37, руководствуясь   Положением об определении порядка организации  и проведения публичных слушаний в Холязинском сельсовете Большемурашкинского муниципального района, утвержденным решением Холязинского сельского Совета от 23.12.2009 года  № 40, в целях информирования жителей Холязинского сельсовета и выявления общественного мнения по проекту решения сельского Совета Холязинского сельсовета Большемурашкинского муниципального района «Об утверждении отчета об исполнении бюджета Холязинского сельсовета за 20</w:t>
      </w:r>
      <w:r w:rsidR="00344D6B" w:rsidRPr="0085136E">
        <w:rPr>
          <w:rFonts w:ascii="Arial" w:hAnsi="Arial" w:cs="Arial"/>
          <w:color w:val="000000"/>
        </w:rPr>
        <w:t>2</w:t>
      </w:r>
      <w:r w:rsidR="00B239B8">
        <w:rPr>
          <w:rFonts w:ascii="Arial" w:hAnsi="Arial" w:cs="Arial"/>
          <w:color w:val="000000"/>
        </w:rPr>
        <w:t>1</w:t>
      </w:r>
      <w:r w:rsidRPr="0085136E">
        <w:rPr>
          <w:rFonts w:ascii="Arial" w:hAnsi="Arial" w:cs="Arial"/>
          <w:color w:val="000000"/>
        </w:rPr>
        <w:t xml:space="preserve"> год», </w:t>
      </w:r>
      <w:r w:rsidR="00061183" w:rsidRPr="0085136E">
        <w:rPr>
          <w:rFonts w:ascii="Arial" w:hAnsi="Arial" w:cs="Arial"/>
          <w:color w:val="000000"/>
        </w:rPr>
        <w:t>а</w:t>
      </w:r>
      <w:r w:rsidRPr="0085136E">
        <w:rPr>
          <w:rFonts w:ascii="Arial" w:hAnsi="Arial" w:cs="Arial"/>
          <w:color w:val="000000"/>
        </w:rPr>
        <w:t xml:space="preserve">дминистрация Холязинского сельсовета Большемурашкинского муниципального района Нижегородской области </w:t>
      </w:r>
      <w:r w:rsidRPr="0085136E">
        <w:rPr>
          <w:rFonts w:ascii="Arial" w:hAnsi="Arial" w:cs="Arial"/>
          <w:b/>
          <w:color w:val="000000"/>
        </w:rPr>
        <w:t>постановляет</w:t>
      </w:r>
      <w:r w:rsidRPr="0085136E">
        <w:rPr>
          <w:rFonts w:ascii="Arial" w:hAnsi="Arial" w:cs="Arial"/>
          <w:color w:val="000000"/>
        </w:rPr>
        <w:t>:</w:t>
      </w:r>
    </w:p>
    <w:p w:rsidR="00604E81" w:rsidRPr="0085136E" w:rsidRDefault="00604E81" w:rsidP="00604E81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 1. Провести публичные слушания по проекту решения сельского Совета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«Об утверждении отчета об исполнении бюджета 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Большемурашкинского муниципального района Нижегородской области за 20</w:t>
      </w:r>
      <w:r w:rsidR="00344D6B" w:rsidRPr="0085136E">
        <w:rPr>
          <w:rFonts w:ascii="Arial" w:hAnsi="Arial" w:cs="Arial"/>
          <w:color w:val="000000"/>
        </w:rPr>
        <w:t>2</w:t>
      </w:r>
      <w:r w:rsidR="00B239B8">
        <w:rPr>
          <w:rFonts w:ascii="Arial" w:hAnsi="Arial" w:cs="Arial"/>
          <w:color w:val="000000"/>
        </w:rPr>
        <w:t>1</w:t>
      </w:r>
      <w:r w:rsidRPr="0085136E">
        <w:rPr>
          <w:rFonts w:ascii="Arial" w:hAnsi="Arial" w:cs="Arial"/>
          <w:color w:val="000000"/>
        </w:rPr>
        <w:t xml:space="preserve"> год» в очной форме  </w:t>
      </w:r>
      <w:r w:rsidRPr="0085136E">
        <w:rPr>
          <w:rFonts w:ascii="Arial" w:hAnsi="Arial" w:cs="Arial"/>
        </w:rPr>
        <w:t>2</w:t>
      </w:r>
      <w:r w:rsidR="00B239B8">
        <w:rPr>
          <w:rFonts w:ascii="Arial" w:hAnsi="Arial" w:cs="Arial"/>
        </w:rPr>
        <w:t>4</w:t>
      </w:r>
      <w:r w:rsidR="001B5268" w:rsidRPr="0085136E">
        <w:rPr>
          <w:rFonts w:ascii="Arial" w:hAnsi="Arial" w:cs="Arial"/>
        </w:rPr>
        <w:t xml:space="preserve"> </w:t>
      </w:r>
      <w:r w:rsidR="00344D6B" w:rsidRPr="0085136E">
        <w:rPr>
          <w:rFonts w:ascii="Arial" w:hAnsi="Arial" w:cs="Arial"/>
        </w:rPr>
        <w:t>июня</w:t>
      </w:r>
      <w:r w:rsidR="001B5268" w:rsidRPr="0085136E">
        <w:rPr>
          <w:rFonts w:ascii="Arial" w:hAnsi="Arial" w:cs="Arial"/>
        </w:rPr>
        <w:t xml:space="preserve"> 202</w:t>
      </w:r>
      <w:r w:rsidR="00B239B8">
        <w:rPr>
          <w:rFonts w:ascii="Arial" w:hAnsi="Arial" w:cs="Arial"/>
        </w:rPr>
        <w:t>2</w:t>
      </w:r>
      <w:r w:rsidRPr="0085136E">
        <w:rPr>
          <w:rFonts w:ascii="Arial" w:hAnsi="Arial" w:cs="Arial"/>
        </w:rPr>
        <w:t xml:space="preserve"> года в 14.00 часов. Место проведения публичных слушаний: с.</w:t>
      </w:r>
      <w:r w:rsidR="007F52CD" w:rsidRPr="0085136E">
        <w:rPr>
          <w:rFonts w:ascii="Arial" w:hAnsi="Arial" w:cs="Arial"/>
        </w:rPr>
        <w:t>Холязино</w:t>
      </w:r>
      <w:r w:rsidRPr="0085136E">
        <w:rPr>
          <w:rFonts w:ascii="Arial" w:hAnsi="Arial" w:cs="Arial"/>
        </w:rPr>
        <w:t>, ул.</w:t>
      </w:r>
      <w:r w:rsidR="007F52CD" w:rsidRPr="0085136E">
        <w:rPr>
          <w:rFonts w:ascii="Arial" w:hAnsi="Arial" w:cs="Arial"/>
        </w:rPr>
        <w:t>Парковая</w:t>
      </w:r>
      <w:r w:rsidRPr="0085136E">
        <w:rPr>
          <w:rFonts w:ascii="Arial" w:hAnsi="Arial" w:cs="Arial"/>
        </w:rPr>
        <w:t>, д.</w:t>
      </w:r>
      <w:r w:rsidR="007F52CD" w:rsidRPr="0085136E">
        <w:rPr>
          <w:rFonts w:ascii="Arial" w:hAnsi="Arial" w:cs="Arial"/>
        </w:rPr>
        <w:t>88</w:t>
      </w:r>
      <w:r w:rsidRPr="0085136E">
        <w:rPr>
          <w:rFonts w:ascii="Arial" w:hAnsi="Arial" w:cs="Arial"/>
        </w:rPr>
        <w:t xml:space="preserve">, </w:t>
      </w:r>
      <w:r w:rsidR="007F52CD" w:rsidRPr="0085136E">
        <w:rPr>
          <w:rFonts w:ascii="Arial" w:hAnsi="Arial" w:cs="Arial"/>
        </w:rPr>
        <w:t xml:space="preserve">здание администрации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сельсовета.</w:t>
      </w:r>
    </w:p>
    <w:p w:rsidR="00604E81" w:rsidRPr="0085136E" w:rsidRDefault="00604E81" w:rsidP="00604E81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2. Предложения от заинтересованных лиц по проекту решения сельского Совета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«Об утверждении отчета об исполнении бюджета 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Большемурашкинского муниципального района Нижегородской области за 20</w:t>
      </w:r>
      <w:r w:rsidR="00344D6B" w:rsidRPr="0085136E">
        <w:rPr>
          <w:rFonts w:ascii="Arial" w:hAnsi="Arial" w:cs="Arial"/>
          <w:color w:val="000000"/>
        </w:rPr>
        <w:t>2</w:t>
      </w:r>
      <w:r w:rsidR="00B239B8">
        <w:rPr>
          <w:rFonts w:ascii="Arial" w:hAnsi="Arial" w:cs="Arial"/>
          <w:color w:val="000000"/>
        </w:rPr>
        <w:t>1</w:t>
      </w:r>
      <w:r w:rsidRPr="0085136E">
        <w:rPr>
          <w:rFonts w:ascii="Arial" w:hAnsi="Arial" w:cs="Arial"/>
          <w:color w:val="000000"/>
        </w:rPr>
        <w:t xml:space="preserve"> год»  принимаются в письменной форме </w:t>
      </w:r>
      <w:r w:rsidRPr="0085136E">
        <w:rPr>
          <w:rFonts w:ascii="Arial" w:hAnsi="Arial" w:cs="Arial"/>
        </w:rPr>
        <w:t xml:space="preserve">до </w:t>
      </w:r>
      <w:r w:rsidR="001B5268" w:rsidRPr="0085136E">
        <w:rPr>
          <w:rFonts w:ascii="Arial" w:hAnsi="Arial" w:cs="Arial"/>
        </w:rPr>
        <w:t>2</w:t>
      </w:r>
      <w:r w:rsidR="00B239B8">
        <w:rPr>
          <w:rFonts w:ascii="Arial" w:hAnsi="Arial" w:cs="Arial"/>
        </w:rPr>
        <w:t>4</w:t>
      </w:r>
      <w:r w:rsidRPr="0085136E">
        <w:rPr>
          <w:rFonts w:ascii="Arial" w:hAnsi="Arial" w:cs="Arial"/>
        </w:rPr>
        <w:t xml:space="preserve"> </w:t>
      </w:r>
      <w:r w:rsidR="00344D6B" w:rsidRPr="0085136E">
        <w:rPr>
          <w:rFonts w:ascii="Arial" w:hAnsi="Arial" w:cs="Arial"/>
        </w:rPr>
        <w:t>июня</w:t>
      </w:r>
      <w:r w:rsidRPr="0085136E">
        <w:rPr>
          <w:rFonts w:ascii="Arial" w:hAnsi="Arial" w:cs="Arial"/>
        </w:rPr>
        <w:t xml:space="preserve"> 20</w:t>
      </w:r>
      <w:r w:rsidR="001B5268" w:rsidRPr="0085136E">
        <w:rPr>
          <w:rFonts w:ascii="Arial" w:hAnsi="Arial" w:cs="Arial"/>
        </w:rPr>
        <w:t>2</w:t>
      </w:r>
      <w:r w:rsidR="00B239B8">
        <w:rPr>
          <w:rFonts w:ascii="Arial" w:hAnsi="Arial" w:cs="Arial"/>
        </w:rPr>
        <w:t>2</w:t>
      </w:r>
      <w:r w:rsidRPr="0085136E">
        <w:rPr>
          <w:rFonts w:ascii="Arial" w:hAnsi="Arial" w:cs="Arial"/>
        </w:rPr>
        <w:t xml:space="preserve"> года с 8.00 до 12.00, с 13.00 до 16.00 в </w:t>
      </w:r>
      <w:r w:rsidRPr="0085136E">
        <w:rPr>
          <w:rFonts w:ascii="Arial" w:hAnsi="Arial" w:cs="Arial"/>
          <w:color w:val="000000"/>
        </w:rPr>
        <w:t xml:space="preserve">здании администрации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Большемурашкинского района.</w:t>
      </w:r>
    </w:p>
    <w:p w:rsidR="00604E81" w:rsidRPr="0085136E" w:rsidRDefault="00604E81" w:rsidP="00604E81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3. Возложить ответственность за проведение публичных слушаний по проекту решения сельского Совета </w:t>
      </w:r>
      <w:r w:rsidR="007F52CD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«Об утверждении отчета об исполнении бюджета  </w:t>
      </w:r>
      <w:r w:rsidR="008027F1" w:rsidRPr="0085136E">
        <w:rPr>
          <w:rFonts w:ascii="Arial" w:hAnsi="Arial" w:cs="Arial"/>
          <w:color w:val="000000"/>
        </w:rPr>
        <w:t xml:space="preserve">Холязинского </w:t>
      </w:r>
      <w:r w:rsidRPr="0085136E">
        <w:rPr>
          <w:rFonts w:ascii="Arial" w:hAnsi="Arial" w:cs="Arial"/>
          <w:color w:val="000000"/>
        </w:rPr>
        <w:t>сельсовета Большемурашкинского муниципального района Нижегородской области за 20</w:t>
      </w:r>
      <w:r w:rsidR="00344D6B" w:rsidRPr="0085136E">
        <w:rPr>
          <w:rFonts w:ascii="Arial" w:hAnsi="Arial" w:cs="Arial"/>
          <w:color w:val="000000"/>
        </w:rPr>
        <w:t>2</w:t>
      </w:r>
      <w:r w:rsidR="00B239B8">
        <w:rPr>
          <w:rFonts w:ascii="Arial" w:hAnsi="Arial" w:cs="Arial"/>
          <w:color w:val="000000"/>
        </w:rPr>
        <w:t>1</w:t>
      </w:r>
      <w:r w:rsidR="002F6F4F" w:rsidRPr="0085136E">
        <w:rPr>
          <w:rFonts w:ascii="Arial" w:hAnsi="Arial" w:cs="Arial"/>
          <w:color w:val="000000"/>
        </w:rPr>
        <w:t xml:space="preserve"> </w:t>
      </w:r>
      <w:r w:rsidRPr="0085136E">
        <w:rPr>
          <w:rFonts w:ascii="Arial" w:hAnsi="Arial" w:cs="Arial"/>
          <w:color w:val="000000"/>
        </w:rPr>
        <w:t xml:space="preserve"> год»  на администрацию </w:t>
      </w:r>
      <w:r w:rsidR="008027F1" w:rsidRPr="0085136E">
        <w:rPr>
          <w:rFonts w:ascii="Arial" w:hAnsi="Arial" w:cs="Arial"/>
          <w:color w:val="000000"/>
        </w:rPr>
        <w:t>Холязинского</w:t>
      </w:r>
      <w:r w:rsidRPr="0085136E">
        <w:rPr>
          <w:rFonts w:ascii="Arial" w:hAnsi="Arial" w:cs="Arial"/>
          <w:color w:val="000000"/>
        </w:rPr>
        <w:t xml:space="preserve"> сельсовета Большемурашкинского муниципального района Нижегородской области.</w:t>
      </w:r>
    </w:p>
    <w:p w:rsidR="008027F1" w:rsidRPr="0085136E" w:rsidRDefault="002F6F4F" w:rsidP="008027F1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</w:t>
      </w:r>
      <w:r w:rsidR="00604E81" w:rsidRPr="0085136E">
        <w:rPr>
          <w:rFonts w:ascii="Arial" w:hAnsi="Arial" w:cs="Arial"/>
          <w:color w:val="000000"/>
        </w:rPr>
        <w:t xml:space="preserve">4. Администрации </w:t>
      </w:r>
      <w:r w:rsidR="008027F1" w:rsidRPr="0085136E">
        <w:rPr>
          <w:rFonts w:ascii="Arial" w:hAnsi="Arial" w:cs="Arial"/>
          <w:color w:val="000000"/>
        </w:rPr>
        <w:t>Холязинского</w:t>
      </w:r>
      <w:r w:rsidR="00604E81" w:rsidRPr="0085136E">
        <w:rPr>
          <w:rFonts w:ascii="Arial" w:hAnsi="Arial" w:cs="Arial"/>
          <w:color w:val="000000"/>
        </w:rPr>
        <w:t xml:space="preserve"> сельсовета разместить проект решения сельского Совета </w:t>
      </w:r>
      <w:r w:rsidR="008027F1" w:rsidRPr="0085136E">
        <w:rPr>
          <w:rFonts w:ascii="Arial" w:hAnsi="Arial" w:cs="Arial"/>
          <w:color w:val="000000"/>
        </w:rPr>
        <w:t>Холязинского</w:t>
      </w:r>
      <w:r w:rsidR="00604E81" w:rsidRPr="0085136E">
        <w:rPr>
          <w:rFonts w:ascii="Arial" w:hAnsi="Arial" w:cs="Arial"/>
          <w:color w:val="000000"/>
        </w:rPr>
        <w:t xml:space="preserve"> сельсовета «Об утверждении отчета об исполнении бюджета  </w:t>
      </w:r>
      <w:r w:rsidR="008027F1" w:rsidRPr="0085136E">
        <w:rPr>
          <w:rFonts w:ascii="Arial" w:hAnsi="Arial" w:cs="Arial"/>
          <w:color w:val="000000"/>
        </w:rPr>
        <w:t>Холязинского</w:t>
      </w:r>
      <w:r w:rsidR="00604E81" w:rsidRPr="0085136E">
        <w:rPr>
          <w:rFonts w:ascii="Arial" w:hAnsi="Arial" w:cs="Arial"/>
          <w:color w:val="000000"/>
        </w:rPr>
        <w:t xml:space="preserve"> сельсовета Большемурашкинского муниципального рай</w:t>
      </w:r>
      <w:r w:rsidR="00344D6B" w:rsidRPr="0085136E">
        <w:rPr>
          <w:rFonts w:ascii="Arial" w:hAnsi="Arial" w:cs="Arial"/>
          <w:color w:val="000000"/>
        </w:rPr>
        <w:t>она Нижегородской области за 202</w:t>
      </w:r>
      <w:r w:rsidR="00B239B8">
        <w:rPr>
          <w:rFonts w:ascii="Arial" w:hAnsi="Arial" w:cs="Arial"/>
          <w:color w:val="000000"/>
        </w:rPr>
        <w:t>1</w:t>
      </w:r>
      <w:r w:rsidR="00604E81" w:rsidRPr="0085136E">
        <w:rPr>
          <w:rFonts w:ascii="Arial" w:hAnsi="Arial" w:cs="Arial"/>
          <w:color w:val="000000"/>
        </w:rPr>
        <w:t xml:space="preserve"> год» на официальном сайте администрации Большемурашкинского </w:t>
      </w:r>
      <w:r w:rsidR="001B5268" w:rsidRPr="0085136E">
        <w:rPr>
          <w:rFonts w:ascii="Arial" w:hAnsi="Arial" w:cs="Arial"/>
          <w:color w:val="000000"/>
        </w:rPr>
        <w:t xml:space="preserve">муниципального </w:t>
      </w:r>
      <w:r w:rsidR="00604E81" w:rsidRPr="0085136E">
        <w:rPr>
          <w:rFonts w:ascii="Arial" w:hAnsi="Arial" w:cs="Arial"/>
          <w:color w:val="000000"/>
        </w:rPr>
        <w:t>района в разделе «Рабочий поселок и сельские поселения</w:t>
      </w:r>
      <w:r w:rsidR="00344D6B" w:rsidRPr="0085136E">
        <w:rPr>
          <w:rFonts w:ascii="Arial" w:hAnsi="Arial" w:cs="Arial"/>
          <w:color w:val="000000"/>
        </w:rPr>
        <w:t>/Холязинский сельсовет</w:t>
      </w:r>
      <w:r w:rsidR="00604E81" w:rsidRPr="0085136E">
        <w:rPr>
          <w:rFonts w:ascii="Arial" w:hAnsi="Arial" w:cs="Arial"/>
          <w:color w:val="000000"/>
        </w:rPr>
        <w:t xml:space="preserve">» </w:t>
      </w:r>
      <w:r w:rsidR="008027F1" w:rsidRPr="0085136E">
        <w:rPr>
          <w:rFonts w:ascii="Arial" w:hAnsi="Arial" w:cs="Arial"/>
          <w:color w:val="000000"/>
        </w:rPr>
        <w:t xml:space="preserve"> </w:t>
      </w:r>
    </w:p>
    <w:p w:rsidR="001B5268" w:rsidRPr="0085136E" w:rsidRDefault="001B5268" w:rsidP="008027F1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</w:p>
    <w:p w:rsidR="00604E81" w:rsidRPr="0085136E" w:rsidRDefault="002F6F4F" w:rsidP="001B5268">
      <w:pPr>
        <w:shd w:val="clear" w:color="auto" w:fill="FFFFFF"/>
        <w:ind w:left="-567"/>
        <w:rPr>
          <w:rFonts w:ascii="Arial" w:hAnsi="Arial" w:cs="Arial"/>
          <w:color w:val="000000"/>
        </w:rPr>
      </w:pPr>
      <w:r w:rsidRPr="0085136E">
        <w:rPr>
          <w:rFonts w:ascii="Arial" w:hAnsi="Arial" w:cs="Arial"/>
          <w:color w:val="000000"/>
        </w:rPr>
        <w:t xml:space="preserve">   Г</w:t>
      </w:r>
      <w:r w:rsidR="00604E81" w:rsidRPr="0085136E">
        <w:rPr>
          <w:rFonts w:ascii="Arial" w:hAnsi="Arial" w:cs="Arial"/>
          <w:color w:val="000000"/>
        </w:rPr>
        <w:t>лав</w:t>
      </w:r>
      <w:r w:rsidRPr="0085136E">
        <w:rPr>
          <w:rFonts w:ascii="Arial" w:hAnsi="Arial" w:cs="Arial"/>
          <w:color w:val="000000"/>
        </w:rPr>
        <w:t xml:space="preserve">а </w:t>
      </w:r>
      <w:r w:rsidR="00604E81" w:rsidRPr="0085136E">
        <w:rPr>
          <w:rFonts w:ascii="Arial" w:hAnsi="Arial" w:cs="Arial"/>
          <w:color w:val="000000"/>
        </w:rPr>
        <w:t>администрации</w:t>
      </w:r>
      <w:r w:rsidRPr="0085136E">
        <w:rPr>
          <w:rFonts w:ascii="Arial" w:hAnsi="Arial" w:cs="Arial"/>
          <w:color w:val="000000"/>
        </w:rPr>
        <w:t xml:space="preserve"> </w:t>
      </w:r>
      <w:r w:rsidR="008027F1" w:rsidRPr="0085136E">
        <w:rPr>
          <w:rFonts w:ascii="Arial" w:hAnsi="Arial" w:cs="Arial"/>
          <w:color w:val="000000"/>
        </w:rPr>
        <w:t>Холязинского</w:t>
      </w:r>
      <w:r w:rsidR="00604E81" w:rsidRPr="0085136E">
        <w:rPr>
          <w:rFonts w:ascii="Arial" w:hAnsi="Arial" w:cs="Arial"/>
          <w:color w:val="000000"/>
        </w:rPr>
        <w:t xml:space="preserve"> сельсовета        </w:t>
      </w:r>
      <w:r w:rsidRPr="0085136E">
        <w:rPr>
          <w:rFonts w:ascii="Arial" w:hAnsi="Arial" w:cs="Arial"/>
          <w:color w:val="000000"/>
        </w:rPr>
        <w:t xml:space="preserve">                      </w:t>
      </w:r>
      <w:r w:rsidR="00604E81" w:rsidRPr="0085136E">
        <w:rPr>
          <w:rFonts w:ascii="Arial" w:hAnsi="Arial" w:cs="Arial"/>
          <w:color w:val="000000"/>
        </w:rPr>
        <w:t xml:space="preserve">            </w:t>
      </w:r>
      <w:r w:rsidRPr="0085136E">
        <w:rPr>
          <w:rFonts w:ascii="Arial" w:hAnsi="Arial" w:cs="Arial"/>
          <w:color w:val="000000"/>
        </w:rPr>
        <w:t>П.А. Дойников</w:t>
      </w:r>
      <w:r w:rsidR="00604E81" w:rsidRPr="0085136E">
        <w:rPr>
          <w:rFonts w:ascii="Arial" w:hAnsi="Arial" w:cs="Arial"/>
          <w:color w:val="000000"/>
        </w:rPr>
        <w:t xml:space="preserve">  </w:t>
      </w:r>
    </w:p>
    <w:p w:rsidR="0085136E" w:rsidRPr="0085136E" w:rsidRDefault="0085136E" w:rsidP="00B239B8">
      <w:pPr>
        <w:jc w:val="center"/>
        <w:rPr>
          <w:rFonts w:ascii="Arial" w:hAnsi="Arial" w:cs="Arial"/>
        </w:rPr>
      </w:pPr>
    </w:p>
    <w:p w:rsidR="00FA2107" w:rsidRDefault="00FA2107" w:rsidP="00A676C5">
      <w:pPr>
        <w:jc w:val="center"/>
        <w:rPr>
          <w:rFonts w:ascii="Arial" w:hAnsi="Arial" w:cs="Arial"/>
        </w:rPr>
      </w:pPr>
    </w:p>
    <w:p w:rsidR="00CF3CCD" w:rsidRDefault="00CF3CCD" w:rsidP="00CF3CC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150495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CD" w:rsidRDefault="00CF3CCD" w:rsidP="00CF3CCD">
      <w:pPr>
        <w:jc w:val="center"/>
      </w:pPr>
      <w:bookmarkStart w:id="0" w:name="_GoBack"/>
    </w:p>
    <w:p w:rsidR="00CF3CCD" w:rsidRDefault="00CF3CCD" w:rsidP="00CF3CCD">
      <w:pPr>
        <w:jc w:val="center"/>
      </w:pPr>
    </w:p>
    <w:p w:rsidR="00CF3CCD" w:rsidRDefault="00CF3CCD" w:rsidP="00CF3CCD">
      <w:pPr>
        <w:jc w:val="center"/>
      </w:pPr>
    </w:p>
    <w:p w:rsidR="00CF3CCD" w:rsidRDefault="00CF3CCD" w:rsidP="00CF3CCD">
      <w:pPr>
        <w:jc w:val="center"/>
      </w:pPr>
    </w:p>
    <w:p w:rsidR="00CF3CCD" w:rsidRDefault="00CF3CCD" w:rsidP="00CF3C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Сельский Совет </w:t>
      </w:r>
    </w:p>
    <w:p w:rsidR="00CF3CCD" w:rsidRDefault="00CF3CCD" w:rsidP="00CF3C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Холязинского сельсовета</w:t>
      </w:r>
    </w:p>
    <w:p w:rsidR="00CF3CCD" w:rsidRDefault="00CF3CCD" w:rsidP="00CF3C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CF3CCD" w:rsidRDefault="00CF3CCD" w:rsidP="00CF3C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CF3CCD" w:rsidRDefault="00CF3CCD" w:rsidP="00CF3CCD">
      <w:pPr>
        <w:keepNext/>
        <w:jc w:val="center"/>
        <w:outlineLvl w:val="0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Р Е Ш Е Н И Е</w:t>
      </w:r>
    </w:p>
    <w:p w:rsidR="00CF3CCD" w:rsidRDefault="00CF3CCD" w:rsidP="00CF3CCD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CF3CCD" w:rsidRDefault="00CF3CCD" w:rsidP="00CF3CCD">
      <w:pPr>
        <w:pStyle w:val="aff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CF3CCD" w:rsidRDefault="00CF3CCD" w:rsidP="00CF3CCD">
      <w:pPr>
        <w:pStyle w:val="aff1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____________г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            №____ </w:t>
      </w:r>
    </w:p>
    <w:p w:rsidR="00CF3CCD" w:rsidRDefault="00CF3CCD" w:rsidP="00CF3CCD">
      <w:pPr>
        <w:jc w:val="center"/>
        <w:rPr>
          <w:b/>
        </w:rPr>
      </w:pPr>
      <w:r>
        <w:rPr>
          <w:b/>
        </w:rPr>
        <w:tab/>
      </w:r>
    </w:p>
    <w:p w:rsidR="00CF3CCD" w:rsidRDefault="00CF3CCD" w:rsidP="00CF3CCD">
      <w:pPr>
        <w:jc w:val="center"/>
        <w:rPr>
          <w:b/>
        </w:rPr>
      </w:pPr>
      <w:r>
        <w:rPr>
          <w:b/>
        </w:rPr>
        <w:t>Об утверждении отчета об исполнении бюджета Холязинского сельсовета</w:t>
      </w:r>
    </w:p>
    <w:p w:rsidR="00CF3CCD" w:rsidRDefault="00CF3CCD" w:rsidP="00CF3CCD">
      <w:pPr>
        <w:jc w:val="center"/>
        <w:rPr>
          <w:b/>
        </w:rPr>
      </w:pPr>
      <w:r>
        <w:rPr>
          <w:b/>
        </w:rPr>
        <w:t>за  2021 год</w:t>
      </w:r>
    </w:p>
    <w:p w:rsidR="00CF3CCD" w:rsidRDefault="00CF3CCD" w:rsidP="00CF3CCD">
      <w:pPr>
        <w:jc w:val="center"/>
        <w:rPr>
          <w:b/>
        </w:rPr>
      </w:pPr>
      <w:r>
        <w:rPr>
          <w:b/>
        </w:rPr>
        <w:t xml:space="preserve"> </w:t>
      </w:r>
    </w:p>
    <w:p w:rsidR="00CF3CCD" w:rsidRDefault="00CF3CCD" w:rsidP="00CF3CCD">
      <w:pPr>
        <w:jc w:val="both"/>
      </w:pPr>
      <w:r>
        <w:t xml:space="preserve">     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>
        <w:rPr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>
        <w:t xml:space="preserve"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37, рассмотрев представленный администрацией Холязинского сельсовета  отчет по исполнению бюджета Холязинского сельсовета за 2021 год,  сельский Совет Холязинского сельсовета </w:t>
      </w:r>
      <w:r>
        <w:rPr>
          <w:b/>
        </w:rPr>
        <w:t>решил</w:t>
      </w:r>
      <w:r>
        <w:t>:</w:t>
      </w:r>
    </w:p>
    <w:p w:rsidR="00CF3CCD" w:rsidRDefault="00CF3CCD" w:rsidP="00CF3CCD">
      <w:pPr>
        <w:ind w:left="426" w:right="339" w:firstLine="709"/>
        <w:jc w:val="both"/>
      </w:pPr>
      <w:r>
        <w:t xml:space="preserve">     1. 1. Утвердить отчет об исполнении бюджета Холязинского сельсовета за 2021 год  по доходам в сумме 28 575,1 </w:t>
      </w:r>
      <w:proofErr w:type="spellStart"/>
      <w:r>
        <w:t>тыс.рублей</w:t>
      </w:r>
      <w:proofErr w:type="spellEnd"/>
      <w:r>
        <w:t xml:space="preserve">, по расходам в сумме 22 151,1 </w:t>
      </w:r>
      <w:proofErr w:type="spellStart"/>
      <w:r>
        <w:t>тыс.рублей</w:t>
      </w:r>
      <w:proofErr w:type="spellEnd"/>
      <w:r>
        <w:t>, с превышением доходов над расходами (профицит бюджета) в сумме  6 424,0  тыс. рублей и со следующими  показателями:</w:t>
      </w:r>
    </w:p>
    <w:p w:rsidR="00CF3CCD" w:rsidRDefault="00CF3CCD" w:rsidP="00CF3CCD">
      <w:pPr>
        <w:ind w:left="426" w:right="339" w:firstLine="709"/>
        <w:jc w:val="both"/>
      </w:pPr>
      <w:r>
        <w:t>– доходов бюджета Холязинского сельсовета по кодам видов доходов, подвидов доходов, классификации операций сектора государственного управления, относящихся к доходам бюджета, за 2021 год согласно приложению 2 к настоящему постановлению;</w:t>
      </w:r>
    </w:p>
    <w:p w:rsidR="00CF3CCD" w:rsidRDefault="00CF3CCD" w:rsidP="00CF3CCD">
      <w:pPr>
        <w:ind w:left="426" w:right="339" w:firstLine="709"/>
        <w:jc w:val="both"/>
      </w:pPr>
      <w:r>
        <w:t>– расходов бюджета Холязинского сельсовета по разделам, подразделам классификации расходов бюджета  за 2021 год согласно приложению 2 к настоящему постановлению;</w:t>
      </w:r>
    </w:p>
    <w:p w:rsidR="00CF3CCD" w:rsidRDefault="00CF3CCD" w:rsidP="00CF3CCD">
      <w:pPr>
        <w:ind w:left="426" w:right="339" w:firstLine="709"/>
        <w:jc w:val="both"/>
      </w:pPr>
      <w:r>
        <w:t>– ведомственной структуры расходов бюджета Холязинского сельсовета за 2021 год согласно приложению 3 к настоящему постановлению;</w:t>
      </w:r>
    </w:p>
    <w:p w:rsidR="00CF3CCD" w:rsidRDefault="00CF3CCD" w:rsidP="00CF3CCD">
      <w:pPr>
        <w:ind w:left="426" w:right="339" w:firstLine="709"/>
        <w:jc w:val="both"/>
      </w:pPr>
      <w:r>
        <w:t>– источников финансирования дефицита бюджета Холязинского сельсовета по кодам классификации источников финансирования дефицитов бюджетов за 2021 год согласно приложению 4 к настоящему постановлению.</w:t>
      </w:r>
    </w:p>
    <w:p w:rsidR="00CF3CCD" w:rsidRDefault="00CF3CCD" w:rsidP="00CF3CCD">
      <w:pPr>
        <w:ind w:left="426" w:right="339"/>
        <w:jc w:val="both"/>
      </w:pPr>
    </w:p>
    <w:p w:rsidR="00CF3CCD" w:rsidRDefault="00CF3CCD" w:rsidP="00CF3CCD">
      <w:pPr>
        <w:ind w:left="426" w:right="339"/>
        <w:jc w:val="both"/>
        <w:rPr>
          <w:sz w:val="22"/>
          <w:szCs w:val="22"/>
        </w:rPr>
      </w:pPr>
    </w:p>
    <w:p w:rsidR="00CF3CCD" w:rsidRDefault="00CF3CCD" w:rsidP="00CF3CCD">
      <w:pPr>
        <w:ind w:left="426" w:right="339"/>
        <w:jc w:val="both"/>
        <w:rPr>
          <w:sz w:val="22"/>
          <w:szCs w:val="22"/>
        </w:rPr>
      </w:pPr>
    </w:p>
    <w:p w:rsidR="00CF3CCD" w:rsidRDefault="00CF3CCD" w:rsidP="00CF3CCD">
      <w:pPr>
        <w:ind w:left="426" w:right="339"/>
        <w:jc w:val="both"/>
        <w:rPr>
          <w:sz w:val="22"/>
          <w:szCs w:val="22"/>
        </w:rPr>
      </w:pPr>
    </w:p>
    <w:p w:rsidR="00CF3CCD" w:rsidRDefault="00CF3CCD" w:rsidP="00CF3CCD">
      <w:pPr>
        <w:ind w:left="426" w:right="339"/>
        <w:jc w:val="both"/>
        <w:rPr>
          <w:sz w:val="22"/>
          <w:szCs w:val="22"/>
        </w:rPr>
      </w:pPr>
    </w:p>
    <w:p w:rsidR="00CF3CCD" w:rsidRDefault="00CF3CCD" w:rsidP="00CF3C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местного самоуправления, </w:t>
      </w:r>
    </w:p>
    <w:p w:rsidR="00CF3CCD" w:rsidRDefault="00CF3CCD" w:rsidP="00CF3CCD">
      <w:pPr>
        <w:jc w:val="both"/>
      </w:pPr>
      <w:r>
        <w:t xml:space="preserve">председатель сельского Совета </w:t>
      </w:r>
      <w:r>
        <w:tab/>
      </w:r>
      <w:r>
        <w:tab/>
      </w:r>
      <w:r>
        <w:tab/>
      </w:r>
      <w:r>
        <w:tab/>
      </w:r>
      <w:r>
        <w:tab/>
        <w:t>Н.А.Шальнова</w:t>
      </w:r>
    </w:p>
    <w:p w:rsidR="00CF3CCD" w:rsidRDefault="00CF3CCD" w:rsidP="00CF3CCD">
      <w:pPr>
        <w:jc w:val="right"/>
      </w:pPr>
    </w:p>
    <w:p w:rsidR="00CF3CCD" w:rsidRDefault="00CF3CCD" w:rsidP="00CF3CCD">
      <w:pPr>
        <w:jc w:val="right"/>
      </w:pPr>
    </w:p>
    <w:p w:rsidR="00CF3CCD" w:rsidRDefault="00CF3CCD" w:rsidP="00CF3CCD">
      <w:pPr>
        <w:jc w:val="right"/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сельского Совета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за 2021 год»</w:t>
      </w:r>
    </w:p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Исполнение </w:t>
      </w: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доходов бюджета Холязинского сельсовета по кодам видов доходов, подвидов доходов, классификации операций сектора государственного управления, </w:t>
      </w: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относящихся к доходам бюджета за 2021 год</w:t>
      </w:r>
    </w:p>
    <w:p w:rsidR="00CF3CCD" w:rsidRDefault="00CF3CCD" w:rsidP="00CF3CCD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5019"/>
        <w:gridCol w:w="1134"/>
        <w:gridCol w:w="1146"/>
        <w:gridCol w:w="1122"/>
      </w:tblGrid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Классификация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Уточненный план</w:t>
            </w: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на 2021год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 за 2021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исполне</w:t>
            </w:r>
            <w:proofErr w:type="spellEnd"/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к </w:t>
            </w: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уточнен</w:t>
            </w: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ному плану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20333,0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28575,1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140,5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1 01 00000 00 0000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83,6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1 01 02000 01 0000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83,6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1.1.1.1. 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1.1.1.2.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1 01 02010 01 3000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1.1.1.3.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1 01 02020 01 2100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1.1.1.4.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>
              <w:rPr>
                <w:sz w:val="22"/>
                <w:szCs w:val="22"/>
                <w:lang w:eastAsia="en-US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1 01 02030 01 1000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1.1.1.5.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bookmarkEnd w:id="0"/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1.1.1.6.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1 03 00000 00 0000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1.2. 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2 904,3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3 132,2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107,8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1 03 02231 01 0000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106,8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1 03 02241 01 0000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1.2.2.Доходы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109,7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1 03 02251 01 0000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1 805,4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106,5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1 03 02261 01 0000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-264,4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-246,6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1 05 00000 00 0000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1.3.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128,9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1 05 03010 01 1000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1.3.1.Единый сельскохозяйственный налог</w:t>
            </w: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128,9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1 05 03010 01 2100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1.3.2.Единый сельскохозяйственный налог</w:t>
            </w: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1 05 03010 01 3000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1.3.3.Единый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1 06 00000 00 0000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 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3 699,8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83,8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106 01030 10 1000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69,7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1 06 06043 10 1000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1739,2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1 06 06043 10 2100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1 11 00000 00 0000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10716,5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615,5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1 11 05025 10 0000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682,4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210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1 11 05075 10 0000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</w:tr>
      <w:tr w:rsidR="00CF3CCD" w:rsidTr="00CF3CCD">
        <w:trPr>
          <w:trHeight w:val="17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1 11 09045 10 0000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1 14 06025 10 0000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1.6.4.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1438,8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1 16 07010 10 0000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1.6.5.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1 17 15030 10 0100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1 17 15030 10 0101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2 00 00000 00 0000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10995,8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10762,2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97,9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2 02 00000 00 0000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2.1.1Дотации бюджетам сельских поселений на 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7 024,8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7 024,8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2 02 45160 10 0000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2 02 49999 10 0000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2 02 49999 10 9000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20333,0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28575,1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140,5</w:t>
            </w:r>
          </w:p>
        </w:tc>
      </w:tr>
    </w:tbl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                    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 решению сельского Совета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совета за 2021 год» </w:t>
      </w:r>
    </w:p>
    <w:p w:rsidR="00CF3CCD" w:rsidRDefault="00CF3CCD" w:rsidP="00CF3CCD">
      <w:pPr>
        <w:rPr>
          <w:b/>
          <w:sz w:val="22"/>
          <w:szCs w:val="22"/>
        </w:rPr>
      </w:pPr>
    </w:p>
    <w:p w:rsidR="00CF3CCD" w:rsidRDefault="00CF3CCD" w:rsidP="00CF3CCD">
      <w:pPr>
        <w:jc w:val="center"/>
        <w:rPr>
          <w:b/>
          <w:sz w:val="22"/>
          <w:szCs w:val="22"/>
        </w:rPr>
      </w:pP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Исполнение расходов бюджета Холязинского сельсовета </w:t>
      </w: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разделам и подразделам классификации расходов бюджета сельсовета </w:t>
      </w:r>
    </w:p>
    <w:p w:rsidR="00CF3CCD" w:rsidRDefault="00CF3CCD" w:rsidP="00C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2021 год</w:t>
      </w:r>
    </w:p>
    <w:p w:rsidR="00CF3CCD" w:rsidRDefault="00CF3CCD" w:rsidP="00CF3CCD">
      <w:pPr>
        <w:jc w:val="center"/>
        <w:rPr>
          <w:b/>
          <w:sz w:val="22"/>
          <w:szCs w:val="22"/>
        </w:rPr>
      </w:pPr>
    </w:p>
    <w:tbl>
      <w:tblPr>
        <w:tblW w:w="11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651"/>
        <w:gridCol w:w="1419"/>
        <w:gridCol w:w="1086"/>
        <w:gridCol w:w="1362"/>
      </w:tblGrid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бюджетной классификац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ии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Уточненный план на2021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 за 2021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% исполнения к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уточненному плану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0100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99,9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3883,8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2.1.Мобилизационная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tabs>
                <w:tab w:val="left" w:pos="451"/>
                <w:tab w:val="center" w:pos="7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5415,9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4384,5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 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8445,4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7438,9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88,1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7084,2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87,6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5.4.Благоустройство (оплата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F3CCD" w:rsidTr="00CF3CC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22151,1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91,6</w:t>
            </w:r>
          </w:p>
        </w:tc>
      </w:tr>
    </w:tbl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outlineLvl w:val="0"/>
        <w:rPr>
          <w:sz w:val="22"/>
          <w:szCs w:val="22"/>
        </w:rPr>
      </w:pPr>
    </w:p>
    <w:p w:rsidR="00CF3CCD" w:rsidRDefault="00CF3CCD" w:rsidP="00CF3CCD">
      <w:pPr>
        <w:outlineLvl w:val="0"/>
        <w:rPr>
          <w:sz w:val="22"/>
          <w:szCs w:val="22"/>
        </w:rPr>
      </w:pPr>
    </w:p>
    <w:p w:rsidR="00CF3CCD" w:rsidRDefault="00CF3CCD" w:rsidP="00CF3CCD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Приложение 3</w:t>
      </w:r>
    </w:p>
    <w:p w:rsidR="00CF3CCD" w:rsidRDefault="00CF3CCD" w:rsidP="00CF3CCD">
      <w:pPr>
        <w:tabs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к решению сельского Совета</w:t>
      </w:r>
    </w:p>
    <w:p w:rsidR="00CF3CCD" w:rsidRDefault="00CF3CCD" w:rsidP="00CF3CCD">
      <w:pPr>
        <w:tabs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Холязинского сельсовета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сельсовета за 2021 год» </w:t>
      </w:r>
    </w:p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 бюджета Холязинского сельсовета </w:t>
      </w:r>
    </w:p>
    <w:p w:rsidR="00CF3CCD" w:rsidRDefault="00CF3CCD" w:rsidP="00CF3C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2021 год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pPr w:leftFromText="180" w:rightFromText="180" w:bottomFromText="200" w:vertAnchor="text" w:horzAnchor="margin" w:tblpXSpec="center" w:tblpY="308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567"/>
        <w:gridCol w:w="1701"/>
        <w:gridCol w:w="709"/>
        <w:gridCol w:w="1134"/>
        <w:gridCol w:w="1134"/>
        <w:gridCol w:w="709"/>
      </w:tblGrid>
      <w:tr w:rsidR="00CF3CCD" w:rsidTr="00CF3CCD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ind w:right="130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Уточненный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Исполнено за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% испо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лнения</w:t>
            </w:r>
          </w:p>
        </w:tc>
      </w:tr>
      <w:tr w:rsidR="00CF3CCD" w:rsidTr="00CF3CCD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b/>
                <w:bCs/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91,6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91,6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99,9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99,9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CF3CCD" w:rsidTr="00CF3CCD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CF3CCD" w:rsidTr="00CF3CCD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</w:tc>
      </w:tr>
      <w:tr w:rsidR="00CF3CCD" w:rsidTr="00CF3CCD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77 7 02 71040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выборов в законодательные (исполнительные)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Муниципальная  программа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9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Подпрограмма7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77 7 02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77 7 02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Мобилизационная и вневойсковая </w:t>
            </w:r>
            <w:r>
              <w:rPr>
                <w:sz w:val="22"/>
                <w:szCs w:val="22"/>
                <w:lang w:eastAsia="en-US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6 </w:t>
            </w:r>
            <w:r>
              <w:rPr>
                <w:bCs/>
                <w:sz w:val="22"/>
                <w:szCs w:val="22"/>
                <w:lang w:eastAsia="en-US"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</w:t>
            </w:r>
            <w:r>
              <w:rPr>
                <w:sz w:val="22"/>
                <w:szCs w:val="22"/>
                <w:lang w:val="en-US" w:eastAsia="en-US"/>
              </w:rPr>
              <w:t xml:space="preserve"> 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</w:t>
            </w:r>
            <w:r>
              <w:rPr>
                <w:sz w:val="22"/>
                <w:szCs w:val="22"/>
                <w:lang w:val="en-US" w:eastAsia="en-US"/>
              </w:rPr>
              <w:t xml:space="preserve"> 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«Организация оплачиваемых общественных работ на территории Большемурашкинского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 xml:space="preserve">«Управление муниципальной собственностью 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80,5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13,5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bCs/>
                <w:sz w:val="22"/>
                <w:szCs w:val="22"/>
                <w:lang w:eastAsia="en-US"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bCs/>
                <w:sz w:val="22"/>
                <w:szCs w:val="22"/>
                <w:lang w:eastAsia="en-US"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87,6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CF3CCD" w:rsidTr="00CF3CCD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57,4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57,4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20 1 01 </w:t>
            </w:r>
            <w:r>
              <w:rPr>
                <w:sz w:val="22"/>
                <w:szCs w:val="22"/>
                <w:lang w:val="en-US" w:eastAsia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after="200"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проекта по поддержке местных инициатив </w:t>
            </w:r>
            <w:r>
              <w:rPr>
                <w:lang w:eastAsia="en-US"/>
              </w:rPr>
              <w:lastRenderedPageBreak/>
              <w:t>(ремонт кладбища в с.Шахманово)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по поддержке местных инициатив( благоустройство общественного пространства по ул.Парковая, д88 в с.Холязино)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 значимых мероприятий в рамках решения вопросов местного значения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 xml:space="preserve"> 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 xml:space="preserve"> S</w:t>
            </w:r>
            <w:r>
              <w:rPr>
                <w:lang w:eastAsia="en-US"/>
              </w:rPr>
              <w:t>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81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20 1 01 </w:t>
            </w:r>
            <w:r>
              <w:rPr>
                <w:lang w:val="en-US" w:eastAsia="en-US"/>
              </w:rPr>
              <w:t xml:space="preserve"> 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Благоустройство (оплата </w:t>
            </w:r>
            <w:r>
              <w:rPr>
                <w:b/>
                <w:lang w:eastAsia="en-US"/>
              </w:rPr>
              <w:lastRenderedPageBreak/>
              <w:t>труда рабочего)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 в области благоустройства (оплата труда)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благоустройства (оплата труда)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</w:t>
            </w:r>
            <w:r>
              <w:rPr>
                <w:sz w:val="22"/>
                <w:szCs w:val="22"/>
                <w:lang w:val="en-US" w:eastAsia="en-US"/>
              </w:rPr>
              <w:t xml:space="preserve"> 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</w:t>
            </w:r>
            <w:r>
              <w:rPr>
                <w:sz w:val="22"/>
                <w:szCs w:val="22"/>
                <w:lang w:val="en-US" w:eastAsia="en-US"/>
              </w:rPr>
              <w:t xml:space="preserve"> S</w:t>
            </w:r>
            <w:r>
              <w:rPr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</w:p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5 «Социальная </w:t>
            </w:r>
            <w:r>
              <w:rPr>
                <w:sz w:val="22"/>
                <w:szCs w:val="22"/>
                <w:lang w:eastAsia="en-US"/>
              </w:rPr>
              <w:lastRenderedPageBreak/>
              <w:t>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F3CCD" w:rsidTr="00CF3CC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CCD" w:rsidRDefault="00CF3C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CCD" w:rsidRDefault="00CF3C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/>
    <w:p w:rsidR="00CF3CCD" w:rsidRDefault="00CF3CCD" w:rsidP="00CF3CCD">
      <w:pPr>
        <w:jc w:val="right"/>
        <w:outlineLvl w:val="0"/>
        <w:rPr>
          <w:sz w:val="22"/>
          <w:szCs w:val="22"/>
        </w:rPr>
      </w:pPr>
    </w:p>
    <w:p w:rsidR="00CF3CCD" w:rsidRDefault="00CF3CCD" w:rsidP="00CF3CCD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ПРИЛОЖЕНИЕ  4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решению сельского Совета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                                                      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«Об исполнении бюджета 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>Холязинского сельского совета</w:t>
      </w:r>
    </w:p>
    <w:p w:rsidR="00CF3CCD" w:rsidRDefault="00CF3CCD" w:rsidP="00CF3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 2021 год» </w:t>
      </w:r>
    </w:p>
    <w:p w:rsidR="00CF3CCD" w:rsidRDefault="00CF3CCD" w:rsidP="00CF3CCD">
      <w:pPr>
        <w:jc w:val="right"/>
        <w:outlineLvl w:val="0"/>
        <w:rPr>
          <w:sz w:val="22"/>
          <w:szCs w:val="22"/>
        </w:rPr>
      </w:pPr>
    </w:p>
    <w:p w:rsidR="00CF3CCD" w:rsidRDefault="00CF3CCD" w:rsidP="00CF3CC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Источники финансирования дефицита бюджета Холязинского сельсовета </w:t>
      </w:r>
    </w:p>
    <w:p w:rsidR="00CF3CCD" w:rsidRDefault="00CF3CCD" w:rsidP="00CF3CC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 кодам  классификации источников финансирования  дефицитов бюджетов</w:t>
      </w:r>
    </w:p>
    <w:p w:rsidR="00CF3CCD" w:rsidRDefault="00CF3CCD" w:rsidP="00CF3CC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 2021 год</w:t>
      </w:r>
    </w:p>
    <w:p w:rsidR="00CF3CCD" w:rsidRDefault="00CF3CCD" w:rsidP="00CF3CCD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1842"/>
        <w:gridCol w:w="2764"/>
        <w:gridCol w:w="1597"/>
      </w:tblGrid>
      <w:tr w:rsidR="00CF3CCD" w:rsidTr="00CF3CC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CF3CCD" w:rsidTr="00CF3C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источника</w:t>
            </w:r>
          </w:p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D" w:rsidRDefault="00CF3CCD">
            <w:pPr>
              <w:rPr>
                <w:lang w:eastAsia="en-US"/>
              </w:rPr>
            </w:pP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Источники финансирования дефицита бюджета сельсовета,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outlineLvl w:val="0"/>
              <w:rPr>
                <w:b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6 424,0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6 424,0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6 424,0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6 424,0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01 05 00 00 00 0000 500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-28 575,1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остатков средств бюджета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01 05 02 00 00 0000 510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-28 575,1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-28 575,1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бюджета сельсовета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-28 575,1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22 151,1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01 05 02 00 00 0000 610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22 151,1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Уменьшение прочих остатков </w:t>
            </w:r>
            <w:r>
              <w:rPr>
                <w:sz w:val="22"/>
                <w:szCs w:val="22"/>
                <w:lang w:eastAsia="en-US"/>
              </w:rPr>
              <w:lastRenderedPageBreak/>
              <w:t>денежных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01 05 02 01 00 0000 610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22 151,1</w:t>
            </w:r>
          </w:p>
        </w:tc>
      </w:tr>
      <w:tr w:rsidR="00CF3CCD" w:rsidTr="00CF3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Уменьшение прочих остатков денежных средств бюджета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CD" w:rsidRDefault="00CF3C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22 151,1</w:t>
            </w:r>
          </w:p>
        </w:tc>
      </w:tr>
    </w:tbl>
    <w:p w:rsidR="00CF3CCD" w:rsidRDefault="00CF3CCD" w:rsidP="00CF3CCD">
      <w:pPr>
        <w:rPr>
          <w:sz w:val="22"/>
          <w:szCs w:val="22"/>
        </w:rPr>
      </w:pPr>
    </w:p>
    <w:p w:rsidR="00CF3CCD" w:rsidRDefault="00CF3CCD" w:rsidP="00CF3CCD">
      <w:pPr>
        <w:jc w:val="right"/>
        <w:rPr>
          <w:sz w:val="22"/>
          <w:szCs w:val="22"/>
        </w:rPr>
      </w:pPr>
    </w:p>
    <w:p w:rsidR="00CF3CCD" w:rsidRPr="0085136E" w:rsidRDefault="00CF3CCD" w:rsidP="00A676C5">
      <w:pPr>
        <w:jc w:val="center"/>
        <w:rPr>
          <w:rFonts w:ascii="Arial" w:hAnsi="Arial" w:cs="Arial"/>
        </w:rPr>
      </w:pPr>
    </w:p>
    <w:sectPr w:rsidR="00CF3CCD" w:rsidRPr="0085136E" w:rsidSect="00FA2107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FA" w:rsidRDefault="00431AFA" w:rsidP="00BB0CA6">
      <w:r>
        <w:separator/>
      </w:r>
    </w:p>
  </w:endnote>
  <w:endnote w:type="continuationSeparator" w:id="0">
    <w:p w:rsidR="00431AFA" w:rsidRDefault="00431AFA" w:rsidP="00B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7839"/>
      <w:docPartObj>
        <w:docPartGallery w:val="Page Numbers (Bottom of Page)"/>
        <w:docPartUnique/>
      </w:docPartObj>
    </w:sdtPr>
    <w:sdtEndPr/>
    <w:sdtContent>
      <w:p w:rsidR="00926FFB" w:rsidRDefault="00926F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CD">
          <w:rPr>
            <w:noProof/>
          </w:rPr>
          <w:t>4</w:t>
        </w:r>
        <w:r>
          <w:fldChar w:fldCharType="end"/>
        </w:r>
      </w:p>
    </w:sdtContent>
  </w:sdt>
  <w:p w:rsidR="0085136E" w:rsidRDefault="008513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FA" w:rsidRDefault="00431AFA" w:rsidP="00BB0CA6">
      <w:r>
        <w:separator/>
      </w:r>
    </w:p>
  </w:footnote>
  <w:footnote w:type="continuationSeparator" w:id="0">
    <w:p w:rsidR="00431AFA" w:rsidRDefault="00431AFA" w:rsidP="00B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D"/>
    <w:rsid w:val="000345F3"/>
    <w:rsid w:val="00053269"/>
    <w:rsid w:val="00061183"/>
    <w:rsid w:val="000674E9"/>
    <w:rsid w:val="000B4186"/>
    <w:rsid w:val="000E6214"/>
    <w:rsid w:val="00122EB1"/>
    <w:rsid w:val="001B5268"/>
    <w:rsid w:val="0021573B"/>
    <w:rsid w:val="002B3422"/>
    <w:rsid w:val="002E217B"/>
    <w:rsid w:val="002F6F4F"/>
    <w:rsid w:val="00303A59"/>
    <w:rsid w:val="00322489"/>
    <w:rsid w:val="00324794"/>
    <w:rsid w:val="00344D6B"/>
    <w:rsid w:val="00415964"/>
    <w:rsid w:val="00431AFA"/>
    <w:rsid w:val="00493B54"/>
    <w:rsid w:val="004C04D7"/>
    <w:rsid w:val="00604E81"/>
    <w:rsid w:val="006F7B05"/>
    <w:rsid w:val="007B7D9D"/>
    <w:rsid w:val="007F52CD"/>
    <w:rsid w:val="008027F1"/>
    <w:rsid w:val="0085136E"/>
    <w:rsid w:val="008A003A"/>
    <w:rsid w:val="008A6ABB"/>
    <w:rsid w:val="00926FFB"/>
    <w:rsid w:val="00A676C5"/>
    <w:rsid w:val="00B239B8"/>
    <w:rsid w:val="00BB0CA6"/>
    <w:rsid w:val="00CF3CCD"/>
    <w:rsid w:val="00E7116E"/>
    <w:rsid w:val="00EB2662"/>
    <w:rsid w:val="00F334AD"/>
    <w:rsid w:val="00F54282"/>
    <w:rsid w:val="00FA2107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4E8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A6AB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8A6AB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8A6ABB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8A6ABB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A6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A6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A6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60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04E8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604E81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604E8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6ABB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6ABB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6AB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A6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A6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6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2"/>
    <w:rsid w:val="008A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8A6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8A6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8A6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8A6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A6AB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6AB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8A6AB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8A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8A6ABB"/>
    <w:pPr>
      <w:spacing w:after="120"/>
    </w:pPr>
  </w:style>
  <w:style w:type="character" w:customStyle="1" w:styleId="af">
    <w:name w:val="Основной текст Знак"/>
    <w:basedOn w:val="a1"/>
    <w:link w:val="ae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8A6AB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8A6A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8A6A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8A6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uiPriority w:val="99"/>
    <w:semiHidden/>
    <w:rsid w:val="008A6AB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8A6ABB"/>
    <w:rPr>
      <w:color w:val="0000FF"/>
      <w:u w:val="single"/>
    </w:rPr>
  </w:style>
  <w:style w:type="character" w:styleId="af5">
    <w:name w:val="FollowedHyperlink"/>
    <w:rsid w:val="008A6ABB"/>
    <w:rPr>
      <w:color w:val="800080"/>
      <w:u w:val="single"/>
    </w:rPr>
  </w:style>
  <w:style w:type="paragraph" w:styleId="af6">
    <w:name w:val="Normal (Web)"/>
    <w:basedOn w:val="a0"/>
    <w:rsid w:val="008A6ABB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8A6ABB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8A6A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8A6ABB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8A6A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8A6AB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8A6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8A6AB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8A6ABB"/>
    <w:pPr>
      <w:ind w:firstLine="851"/>
      <w:jc w:val="both"/>
    </w:pPr>
  </w:style>
  <w:style w:type="paragraph" w:customStyle="1" w:styleId="Times14">
    <w:name w:val="Times14"/>
    <w:basedOn w:val="a0"/>
    <w:rsid w:val="008A6ABB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8A6ABB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8A6ABB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8A6ABB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 Знак Знак Знак"/>
    <w:basedOn w:val="a0"/>
    <w:rsid w:val="008A6A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8A6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8A6ABB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8A6AB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8A6ABB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8A6ABB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8A6ABB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A6ABB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8A6ABB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8A6ABB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A6AB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FA210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7">
    <w:name w:val="Нет списка1"/>
    <w:next w:val="a3"/>
    <w:uiPriority w:val="99"/>
    <w:semiHidden/>
    <w:unhideWhenUsed/>
    <w:rsid w:val="0085136E"/>
  </w:style>
  <w:style w:type="table" w:customStyle="1" w:styleId="18">
    <w:name w:val="Сетка таблицы1"/>
    <w:basedOn w:val="a2"/>
    <w:next w:val="a6"/>
    <w:rsid w:val="008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0"/>
    <w:uiPriority w:val="34"/>
    <w:qFormat/>
    <w:rsid w:val="00CF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4E8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A6AB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8A6AB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8A6ABB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8A6ABB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A6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A6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A6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60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04E8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604E81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604E8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6ABB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6ABB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6AB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A6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A6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6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2"/>
    <w:rsid w:val="008A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8A6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8A6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8A6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8A6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A6AB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6AB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8A6AB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8A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8A6ABB"/>
    <w:pPr>
      <w:spacing w:after="120"/>
    </w:pPr>
  </w:style>
  <w:style w:type="character" w:customStyle="1" w:styleId="af">
    <w:name w:val="Основной текст Знак"/>
    <w:basedOn w:val="a1"/>
    <w:link w:val="ae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8A6AB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8A6A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8A6A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8A6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uiPriority w:val="99"/>
    <w:semiHidden/>
    <w:rsid w:val="008A6AB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8A6ABB"/>
    <w:rPr>
      <w:color w:val="0000FF"/>
      <w:u w:val="single"/>
    </w:rPr>
  </w:style>
  <w:style w:type="character" w:styleId="af5">
    <w:name w:val="FollowedHyperlink"/>
    <w:rsid w:val="008A6ABB"/>
    <w:rPr>
      <w:color w:val="800080"/>
      <w:u w:val="single"/>
    </w:rPr>
  </w:style>
  <w:style w:type="paragraph" w:styleId="af6">
    <w:name w:val="Normal (Web)"/>
    <w:basedOn w:val="a0"/>
    <w:rsid w:val="008A6ABB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8A6ABB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8A6A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8A6ABB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8A6A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8A6AB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8A6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8A6AB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8A6ABB"/>
    <w:pPr>
      <w:ind w:firstLine="851"/>
      <w:jc w:val="both"/>
    </w:pPr>
  </w:style>
  <w:style w:type="paragraph" w:customStyle="1" w:styleId="Times14">
    <w:name w:val="Times14"/>
    <w:basedOn w:val="a0"/>
    <w:rsid w:val="008A6ABB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8A6ABB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8A6ABB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8A6ABB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 Знак Знак Знак"/>
    <w:basedOn w:val="a0"/>
    <w:rsid w:val="008A6A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8A6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8A6ABB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8A6AB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8A6ABB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8A6ABB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8A6ABB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A6ABB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8A6ABB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8A6ABB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A6AB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FA210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7">
    <w:name w:val="Нет списка1"/>
    <w:next w:val="a3"/>
    <w:uiPriority w:val="99"/>
    <w:semiHidden/>
    <w:unhideWhenUsed/>
    <w:rsid w:val="0085136E"/>
  </w:style>
  <w:style w:type="table" w:customStyle="1" w:styleId="18">
    <w:name w:val="Сетка таблицы1"/>
    <w:basedOn w:val="a2"/>
    <w:next w:val="a6"/>
    <w:rsid w:val="008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0"/>
    <w:uiPriority w:val="34"/>
    <w:qFormat/>
    <w:rsid w:val="00CF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E20E-6024-4F87-A2EE-6F9830DD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24</cp:revision>
  <cp:lastPrinted>2022-06-06T08:04:00Z</cp:lastPrinted>
  <dcterms:created xsi:type="dcterms:W3CDTF">2018-04-13T06:47:00Z</dcterms:created>
  <dcterms:modified xsi:type="dcterms:W3CDTF">2022-06-06T08:04:00Z</dcterms:modified>
</cp:coreProperties>
</file>