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74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65C2675" wp14:editId="283C3C8F">
            <wp:simplePos x="0" y="0"/>
            <wp:positionH relativeFrom="column">
              <wp:posOffset>2767965</wp:posOffset>
            </wp:positionH>
            <wp:positionV relativeFrom="paragraph">
              <wp:posOffset>-133350</wp:posOffset>
            </wp:positionV>
            <wp:extent cx="546735" cy="677545"/>
            <wp:effectExtent l="0" t="0" r="5715" b="825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</w:t>
      </w:r>
      <w:r w:rsidR="007B1F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Холязинского сельсовета </w:t>
      </w: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Большемурашкинского муниципального района</w:t>
      </w: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4"/>
          <w:lang w:eastAsia="ru-RU"/>
        </w:rPr>
        <w:t>Нижегородской области</w:t>
      </w:r>
    </w:p>
    <w:p w:rsidR="003E34C0" w:rsidRPr="008E674C" w:rsidRDefault="003E34C0" w:rsidP="003E3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8E674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3E34C0" w:rsidRPr="008E674C" w:rsidRDefault="003E34C0" w:rsidP="003E34C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674C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BFC90" wp14:editId="5D44E625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3335" t="12700" r="5715" b="63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TzITQIAAFg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zFU8yE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8E674C">
        <w:rPr>
          <w:rFonts w:ascii="Times New Roman" w:eastAsia="Times New Roman" w:hAnsi="Times New Roman" w:cs="Times New Roman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FE5F" wp14:editId="60544FB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2860" t="22225" r="24765" b="254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" strokeweight="3pt"/>
            </w:pict>
          </mc:Fallback>
        </mc:AlternateContent>
      </w:r>
    </w:p>
    <w:p w:rsidR="003E34C0" w:rsidRPr="008E674C" w:rsidRDefault="007B1F76" w:rsidP="003E34C0">
      <w:pPr>
        <w:shd w:val="clear" w:color="auto" w:fill="FFFFFF"/>
        <w:spacing w:before="298"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21.11.2017 </w:t>
      </w:r>
      <w:r w:rsidR="003E34C0" w:rsidRPr="008E67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117</w:t>
      </w:r>
      <w:r w:rsidR="003E34C0" w:rsidRPr="008E674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E34C0" w:rsidRPr="008E674C" w:rsidRDefault="003E34C0" w:rsidP="003E34C0">
      <w:pPr>
        <w:shd w:val="clear" w:color="auto" w:fill="FFFFFF"/>
        <w:spacing w:before="298" w:after="0" w:line="240" w:lineRule="auto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3945A3" w:rsidRDefault="003945A3" w:rsidP="0006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«Об установлении </w:t>
      </w:r>
      <w:r w:rsidR="00A373ED" w:rsidRPr="008E674C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размера платы</w:t>
      </w:r>
      <w:r w:rsidRPr="008E674C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за жилое </w:t>
      </w:r>
      <w:r w:rsidRPr="008E67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помещение </w:t>
      </w:r>
      <w:r w:rsidR="00A373ED" w:rsidRPr="008E67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(наем) </w:t>
      </w:r>
      <w:r w:rsidRPr="008E674C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по договорам </w:t>
      </w:r>
      <w:r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найма и размер платы за </w:t>
      </w:r>
      <w:r w:rsidR="00062B0D"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 </w:t>
      </w:r>
      <w:r w:rsidR="0098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ремонт </w:t>
      </w:r>
      <w:r w:rsidR="00062B0D"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жилого помещения для нанимателей жилых помещений, занимаемых по договорам социального найма или договорам найма жилых помещений  муниципального жилищного фонда </w:t>
      </w:r>
      <w:r w:rsidR="007B1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Холязинского сельсовета </w:t>
      </w:r>
      <w:r w:rsidR="00062B0D"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7" w:history="1">
        <w:r w:rsidR="00062B0D" w:rsidRPr="008E674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способа</w:t>
        </w:r>
      </w:hyperlink>
      <w:r w:rsidR="00062B0D"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помещения»</w:t>
      </w:r>
    </w:p>
    <w:p w:rsidR="00D36C8C" w:rsidRPr="008E674C" w:rsidRDefault="00D36C8C" w:rsidP="0006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45A3" w:rsidRPr="008E674C" w:rsidRDefault="003945A3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Жилищным кодексом Российской федерации 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29.12.2004 года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188-ФЗ 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2E679D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29.07.2017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258-ФЗ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E679D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 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вступают в силу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 201</w:t>
      </w:r>
      <w:r w:rsidR="00E7646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года), Федеральным законом  от 06.10.2003 года № 131-ФЗ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</w:t>
      </w:r>
      <w:r w:rsidR="007D21B7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Постановление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13.08.2006 года № 491 «Об утверждении правил содержания общего имущества в </w:t>
      </w:r>
      <w:r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многоквартирном доме и Правил изменения размера платы за содержание и </w:t>
      </w:r>
      <w:r w:rsidRPr="008E6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ремонт жилого помещения в случае оказания услуг и выполнения работ по </w:t>
      </w:r>
      <w:r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управлению, содержанию и ремонту общего имущества в многоквартирном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 ненадлежащего качества и с перерывами, превышающими установленную продолжительность» (с изменениями и дополнениями от </w:t>
      </w:r>
      <w:r w:rsidR="007D21B7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09.0</w:t>
      </w:r>
      <w:r w:rsidR="0010529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D21B7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0529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D21B7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0529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1091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Постановление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03.04.2013 года № 290</w:t>
      </w:r>
      <w:r w:rsidR="0010529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27.02.2017 г)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Большемурашкинского муниципального района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B0D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B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Холязинского сельсовета </w:t>
      </w:r>
      <w:r w:rsidR="00062B0D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Большемурашкинского муниципального района </w:t>
      </w:r>
      <w:r w:rsidR="00062B0D" w:rsidRPr="008E6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8E674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:</w:t>
      </w:r>
    </w:p>
    <w:p w:rsidR="004869D7" w:rsidRPr="008E674C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color w:val="FF0000"/>
          <w:spacing w:val="57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lastRenderedPageBreak/>
        <w:t>1.</w:t>
      </w:r>
      <w:r w:rsidR="00BC584C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размер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</w:t>
      </w:r>
      <w:r w:rsidR="00971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Холязинского сельсовета</w:t>
      </w:r>
      <w:r w:rsidR="00BC584C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Большемурашкинского муниципального района Нижегородской области на 2018 год согласно расчета приложении № 1.</w:t>
      </w:r>
    </w:p>
    <w:p w:rsidR="004869D7" w:rsidRPr="008E674C" w:rsidRDefault="004869D7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2</w:t>
      </w:r>
      <w:r w:rsidR="00495749" w:rsidRPr="008E674C">
        <w:rPr>
          <w:rFonts w:ascii="Times New Roman" w:eastAsia="Times New Roman" w:hAnsi="Times New Roman" w:cs="Times New Roman"/>
          <w:spacing w:val="57"/>
          <w:sz w:val="28"/>
          <w:szCs w:val="28"/>
          <w:lang w:eastAsia="ru-RU"/>
        </w:rPr>
        <w:t>.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 содержание</w:t>
      </w:r>
      <w:r w:rsidR="0098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жилого помещения для нанимателей жилых помещений, занимаемых по договорам социального найма или договорам найма жилых помещений  муниципального жилищного фонда </w:t>
      </w:r>
      <w:r w:rsidR="0097141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Холязинского сельсовета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8" w:history="1">
        <w:r w:rsidRPr="008E67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способа</w:t>
        </w:r>
      </w:hyperlink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</w:t>
      </w:r>
      <w:r w:rsidR="003945A3" w:rsidRPr="008E6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E70BE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529B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945A3" w:rsidRPr="008E67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согласно 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 №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945A3" w:rsidRPr="008E674C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6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3945A3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постановление</w:t>
      </w:r>
      <w:r w:rsidR="003945A3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вступает в силу с 01.0</w:t>
      </w:r>
      <w:r w:rsidR="00CE70BE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1</w:t>
      </w:r>
      <w:r w:rsidR="003945A3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.201</w:t>
      </w:r>
      <w:r w:rsidR="0010529B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8</w:t>
      </w:r>
      <w:r w:rsidR="003945A3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года.</w:t>
      </w:r>
    </w:p>
    <w:p w:rsidR="00495749" w:rsidRPr="008E674C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4</w:t>
      </w:r>
      <w:r w:rsidR="00495749" w:rsidRPr="008E674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="00D36C8C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 части, не противоречащей действующему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законодательству.</w:t>
      </w:r>
    </w:p>
    <w:p w:rsidR="00BC584C" w:rsidRPr="008E674C" w:rsidRDefault="00BC584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7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Специалисту 1 категории </w:t>
      </w:r>
      <w:proofErr w:type="spellStart"/>
      <w:r w:rsidR="0097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Плахиной</w:t>
      </w:r>
      <w:proofErr w:type="spellEnd"/>
      <w:r w:rsidR="009714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В.Н.</w:t>
      </w:r>
      <w:r w:rsidRPr="008E6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</w:t>
      </w:r>
      <w:r w:rsidR="008745E4" w:rsidRPr="008E674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8745E4" w:rsidRPr="008E6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3E34C0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опубликование настоящего постановления в средствах массовой информации в районной газете « Знамя»</w:t>
      </w:r>
      <w:r w:rsidRPr="008E6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945A3" w:rsidRPr="008E674C" w:rsidRDefault="00D36C8C" w:rsidP="00D36C8C">
      <w:pPr>
        <w:shd w:val="clear" w:color="auto" w:fill="FFFFFF"/>
        <w:spacing w:after="0"/>
        <w:ind w:right="1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A3"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Контроль за исполнением настоящего </w:t>
      </w:r>
      <w:r w:rsidR="00BC584C"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постановления</w:t>
      </w:r>
      <w:r w:rsidR="003945A3"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возложить на </w:t>
      </w:r>
      <w:r w:rsidR="00BC584C" w:rsidRPr="008E674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заместитель главы администрации района </w:t>
      </w:r>
      <w:proofErr w:type="spellStart"/>
      <w:r w:rsidR="0097141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Ф.А.Лицова</w:t>
      </w:r>
      <w:proofErr w:type="spellEnd"/>
      <w:r w:rsidR="003945A3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45A3" w:rsidRPr="008E674C" w:rsidRDefault="003945A3" w:rsidP="00D36C8C">
      <w:pPr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D36C8C" w:rsidRDefault="00D36C8C" w:rsidP="00D36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8C" w:rsidRDefault="00D36C8C" w:rsidP="00D36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C8C" w:rsidRDefault="00D36C8C" w:rsidP="00D36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A35" w:rsidRPr="008E674C" w:rsidRDefault="003945A3" w:rsidP="00D36C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C584C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BC584C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95749" w:rsidRPr="008E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971414">
        <w:rPr>
          <w:rFonts w:ascii="Times New Roman" w:eastAsia="Times New Roman" w:hAnsi="Times New Roman" w:cs="Times New Roman"/>
          <w:sz w:val="28"/>
          <w:szCs w:val="28"/>
          <w:lang w:eastAsia="ru-RU"/>
        </w:rPr>
        <w:t>П.А.Дойников</w:t>
      </w:r>
      <w:proofErr w:type="spellEnd"/>
    </w:p>
    <w:p w:rsidR="00F55A35" w:rsidRPr="008E674C" w:rsidRDefault="00F55A35" w:rsidP="00D36C8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7A36A9" w:rsidRDefault="007A36A9" w:rsidP="00D36C8C">
      <w:pPr>
        <w:shd w:val="clear" w:color="auto" w:fill="FFFFFF"/>
        <w:spacing w:after="0"/>
        <w:ind w:right="154"/>
        <w:jc w:val="both"/>
        <w:rPr>
          <w:rFonts w:ascii="Times New Roman" w:eastAsia="Times New Roman" w:hAnsi="Times New Roman" w:cs="Times New Roman"/>
          <w:spacing w:val="-5"/>
          <w:lang w:eastAsia="ru-RU"/>
        </w:rPr>
      </w:pPr>
    </w:p>
    <w:p w:rsidR="00A83072" w:rsidRDefault="00A83072" w:rsidP="00D36C8C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3072" w:rsidRDefault="00A8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A83072" w:rsidSect="00D36C8C">
          <w:pgSz w:w="11906" w:h="16838"/>
          <w:pgMar w:top="851" w:right="849" w:bottom="1559" w:left="1701" w:header="709" w:footer="709" w:gutter="0"/>
          <w:cols w:space="708"/>
          <w:docGrid w:linePitch="360"/>
        </w:sectPr>
      </w:pPr>
    </w:p>
    <w:p w:rsidR="00092DF9" w:rsidRPr="003945A3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pacing w:val="-5"/>
          <w:lang w:eastAsia="ru-RU"/>
        </w:rPr>
        <w:t>1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092DF9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spacing w:val="-5"/>
          <w:lang w:eastAsia="ru-RU"/>
        </w:rPr>
        <w:t>Постановлению администрации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971414" w:rsidRPr="003945A3" w:rsidRDefault="00971414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Холязинского сельсовета </w:t>
      </w:r>
    </w:p>
    <w:p w:rsidR="00092DF9" w:rsidRPr="003945A3" w:rsidRDefault="00092DF9" w:rsidP="00092DF9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Большемурашкинского муниципального района</w:t>
      </w:r>
    </w:p>
    <w:p w:rsidR="00092DF9" w:rsidRDefault="00092DF9" w:rsidP="00092DF9">
      <w:pPr>
        <w:shd w:val="clear" w:color="auto" w:fill="FFFFFF"/>
        <w:spacing w:before="5"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  от « _</w:t>
      </w:r>
      <w:r w:rsidR="00971414">
        <w:rPr>
          <w:rFonts w:ascii="Times New Roman" w:eastAsia="Times New Roman" w:hAnsi="Times New Roman" w:cs="Times New Roman"/>
          <w:spacing w:val="-5"/>
          <w:lang w:eastAsia="ru-RU"/>
        </w:rPr>
        <w:t>21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>__  » ___</w:t>
      </w:r>
      <w:r w:rsidR="00971414">
        <w:rPr>
          <w:rFonts w:ascii="Times New Roman" w:eastAsia="Times New Roman" w:hAnsi="Times New Roman" w:cs="Times New Roman"/>
          <w:spacing w:val="-5"/>
          <w:lang w:eastAsia="ru-RU"/>
        </w:rPr>
        <w:t>11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>_____201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7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г.   </w:t>
      </w:r>
      <w:r w:rsidRPr="003945A3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Pr="003945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</w:t>
      </w:r>
      <w:r w:rsidR="00971414">
        <w:rPr>
          <w:rFonts w:ascii="Times New Roman" w:eastAsia="Times New Roman" w:hAnsi="Times New Roman" w:cs="Times New Roman"/>
          <w:b/>
          <w:bCs/>
          <w:lang w:eastAsia="ru-RU"/>
        </w:rPr>
        <w:t>117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</w:t>
      </w:r>
      <w:r w:rsidRPr="003945A3">
        <w:rPr>
          <w:rFonts w:ascii="Times New Roman" w:eastAsia="Times New Roman" w:hAnsi="Times New Roman" w:cs="Times New Roman"/>
          <w:b/>
          <w:bCs/>
          <w:lang w:eastAsia="ru-RU"/>
        </w:rPr>
        <w:t>__</w:t>
      </w:r>
    </w:p>
    <w:p w:rsidR="00A83072" w:rsidRDefault="00A830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2DF9" w:rsidRPr="00B82F8D" w:rsidRDefault="00092DF9" w:rsidP="00B82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2F8D">
        <w:rPr>
          <w:rFonts w:ascii="Times New Roman" w:hAnsi="Times New Roman" w:cs="Times New Roman"/>
          <w:b/>
          <w:color w:val="000000"/>
          <w:sz w:val="24"/>
          <w:szCs w:val="24"/>
        </w:rPr>
        <w:t>Расчет размера платы за пользование жилым помещением для нанимателей жилых помещений</w:t>
      </w:r>
      <w:r w:rsidR="00255D18">
        <w:rPr>
          <w:rFonts w:ascii="Times New Roman" w:hAnsi="Times New Roman" w:cs="Times New Roman"/>
          <w:b/>
          <w:color w:val="000000"/>
          <w:sz w:val="24"/>
          <w:szCs w:val="24"/>
        </w:rPr>
        <w:t>(платы за наем)</w:t>
      </w:r>
      <w:r w:rsidRPr="00B82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договорам социального найма и договорам найма жилых помещений муниципального жилищного фонда на территории </w:t>
      </w:r>
      <w:r w:rsidR="007B1F76">
        <w:rPr>
          <w:rFonts w:ascii="Times New Roman" w:hAnsi="Times New Roman" w:cs="Times New Roman"/>
          <w:b/>
          <w:color w:val="000000"/>
          <w:sz w:val="24"/>
          <w:szCs w:val="24"/>
        </w:rPr>
        <w:t>Холязинского сельсовета</w:t>
      </w:r>
      <w:r w:rsidRPr="00B82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Большемурашкинского муниципального района Нижегородской области</w:t>
      </w:r>
      <w:r w:rsidR="00B82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2018 год</w:t>
      </w:r>
    </w:p>
    <w:tbl>
      <w:tblPr>
        <w:tblW w:w="14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134"/>
        <w:gridCol w:w="1559"/>
        <w:gridCol w:w="1276"/>
        <w:gridCol w:w="1449"/>
        <w:gridCol w:w="1102"/>
        <w:gridCol w:w="993"/>
        <w:gridCol w:w="1417"/>
        <w:gridCol w:w="1459"/>
      </w:tblGrid>
      <w:tr w:rsidR="00B82F8D" w:rsidRPr="00092DF9" w:rsidTr="00B82F8D">
        <w:trPr>
          <w:trHeight w:val="6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благоустройства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Размер платы за наем,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/кв.м.</w:t>
            </w:r>
          </w:p>
          <w:p w:rsidR="005F35F6" w:rsidRPr="00092DF9" w:rsidRDefault="005F35F6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НДС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размер платы за наем (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Нб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характеризующицй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качество и благоустройство (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Kj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соответствия платы (Кс)</w:t>
            </w:r>
          </w:p>
        </w:tc>
      </w:tr>
      <w:tr w:rsidR="00092DF9" w:rsidRPr="00092DF9" w:rsidTr="00B82F8D">
        <w:trPr>
          <w:trHeight w:val="127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цена 1 кв.м. на вторичном рынке (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СРс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Коэффициент, в зависимости от группы домов (К1)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Коэффициент, характеризующий износ дома(К2)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Коэффициент, характеризующий благоустройство (К3)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Коэффициент месторасположения дома (К4)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DF9" w:rsidRPr="00092DF9" w:rsidRDefault="00092DF9" w:rsidP="00092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92DF9" w:rsidRPr="00092DF9" w:rsidTr="00092DF9">
        <w:trPr>
          <w:trHeight w:val="315"/>
        </w:trPr>
        <w:tc>
          <w:tcPr>
            <w:tcW w:w="14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DF9" w:rsidRPr="00092DF9" w:rsidRDefault="00971414" w:rsidP="00092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Холязинского сельсовета</w:t>
            </w:r>
            <w:r w:rsidR="00092DF9" w:rsidRPr="00092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Большемурашкинского муниципального района Нижегородской области</w:t>
            </w:r>
          </w:p>
        </w:tc>
      </w:tr>
      <w:tr w:rsidR="001C5220" w:rsidRPr="00092DF9" w:rsidTr="00B82F8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помещение, расположенное в кирпичном доме </w:t>
            </w:r>
            <w:r w:rsidRPr="00876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2011г постройки, </w:t>
            </w: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имеющее все виды благоустройства (отопление,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водоснабжение,водоотведение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C5220" w:rsidRPr="00092DF9" w:rsidTr="00B82F8D">
        <w:trPr>
          <w:trHeight w:val="15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помещение, расположенное в кирпичном доме с 1971-1999г постройки, имеющее все виды благоустройства (отопление,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водоснабжение,водоотведение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электроснабжение, газоснабжение)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C5220" w:rsidRPr="00092DF9" w:rsidTr="00B82F8D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Жилое помещение, расположенное в кирпичном доме с 1946-1970г постройки, имеющим все виды благоустройства   (  отопление  , водоснабжение, водоотведение,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газаснабжение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C5220" w:rsidRPr="00092DF9" w:rsidTr="00B82F8D">
        <w:trPr>
          <w:trHeight w:val="16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Жилое помещение, расположенное в панельном,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кирамзитобетонном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пеноблочном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доме с 1971-1999г постройки, имеющим все виды благоустройства  (отопление , водоснабжение, водоотведение, </w:t>
            </w:r>
            <w:proofErr w:type="spellStart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газаснабжение</w:t>
            </w:r>
            <w:proofErr w:type="spellEnd"/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C5220" w:rsidRPr="00092DF9" w:rsidTr="00B82F8D">
        <w:trPr>
          <w:trHeight w:val="11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помещение, расположенное в кирпичном доме с 1971-1999г постройки, имеющим не все виды благоустройства  (  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C5220" w:rsidRPr="00092DF9" w:rsidTr="00B82F8D">
        <w:trPr>
          <w:trHeight w:val="10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5220" w:rsidRPr="00092DF9" w:rsidRDefault="001C5220" w:rsidP="004D4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Жилое помещение, расположенное в кирпичном доме с 1946-1970г постройки, имеющим не все виды благоустройства  (  отсутствует один или несколько видов благоустройства)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5220" w:rsidRPr="00092DF9" w:rsidRDefault="001C5220" w:rsidP="004D4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2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</w:tbl>
    <w:p w:rsidR="005F35F6" w:rsidRPr="003E19F3" w:rsidRDefault="005F35F6" w:rsidP="005F35F6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19F3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Примечание:</w:t>
      </w:r>
    </w:p>
    <w:p w:rsidR="005F35F6" w:rsidRPr="003E19F3" w:rsidRDefault="005F35F6" w:rsidP="005F35F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признанные в установленном законодательством </w:t>
      </w:r>
      <w:r w:rsidRPr="003E19F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порядке малоимущими гражданами и занимающие жилые помещения по </w:t>
      </w:r>
      <w:r w:rsidRPr="003E1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 социального найма, освобождаются от внесения платы за пользование жилым помещением (платы за наем).</w:t>
      </w:r>
    </w:p>
    <w:p w:rsidR="005F35F6" w:rsidRPr="003E19F3" w:rsidRDefault="005F35F6" w:rsidP="005F35F6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92DF9" w:rsidRDefault="00092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092DF9" w:rsidSect="00A83072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955702" w:rsidRDefault="00955702" w:rsidP="00955702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FFB" w:rsidRPr="003945A3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pacing w:val="-5"/>
          <w:lang w:eastAsia="ru-RU"/>
        </w:rPr>
        <w:t>2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E61FFB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к </w:t>
      </w:r>
      <w:r>
        <w:rPr>
          <w:rFonts w:ascii="Times New Roman" w:eastAsia="Times New Roman" w:hAnsi="Times New Roman" w:cs="Times New Roman"/>
          <w:spacing w:val="-5"/>
          <w:lang w:eastAsia="ru-RU"/>
        </w:rPr>
        <w:t>Постановлению администрации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</w:t>
      </w:r>
    </w:p>
    <w:p w:rsidR="00E61FFB" w:rsidRPr="003945A3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>
        <w:rPr>
          <w:rFonts w:ascii="Times New Roman" w:eastAsia="Times New Roman" w:hAnsi="Times New Roman" w:cs="Times New Roman"/>
          <w:spacing w:val="-5"/>
          <w:lang w:eastAsia="ru-RU"/>
        </w:rPr>
        <w:t xml:space="preserve">Холязинского сельсовета </w:t>
      </w:r>
    </w:p>
    <w:p w:rsidR="00E61FFB" w:rsidRPr="003945A3" w:rsidRDefault="00E61FFB" w:rsidP="00E61FFB">
      <w:pPr>
        <w:shd w:val="clear" w:color="auto" w:fill="FFFFFF"/>
        <w:spacing w:after="0"/>
        <w:ind w:right="154"/>
        <w:jc w:val="right"/>
        <w:rPr>
          <w:rFonts w:ascii="Times New Roman" w:eastAsia="Times New Roman" w:hAnsi="Times New Roman" w:cs="Times New Roman"/>
          <w:spacing w:val="-5"/>
          <w:lang w:eastAsia="ru-RU"/>
        </w:rPr>
      </w:pPr>
      <w:r w:rsidRPr="003945A3">
        <w:rPr>
          <w:rFonts w:ascii="Times New Roman" w:eastAsia="Times New Roman" w:hAnsi="Times New Roman" w:cs="Times New Roman"/>
          <w:spacing w:val="-4"/>
          <w:lang w:eastAsia="ru-RU"/>
        </w:rPr>
        <w:t xml:space="preserve">                                                              Большемурашкинского муниципального района</w:t>
      </w:r>
    </w:p>
    <w:p w:rsidR="00E61FFB" w:rsidRDefault="00E61FFB" w:rsidP="00E61FFB">
      <w:pPr>
        <w:shd w:val="clear" w:color="auto" w:fill="FFFFFF"/>
        <w:spacing w:before="5" w:after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                                                                                      от « _</w:t>
      </w:r>
      <w:r>
        <w:rPr>
          <w:rFonts w:ascii="Times New Roman" w:eastAsia="Times New Roman" w:hAnsi="Times New Roman" w:cs="Times New Roman"/>
          <w:spacing w:val="-5"/>
          <w:lang w:eastAsia="ru-RU"/>
        </w:rPr>
        <w:t>21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>__  » ___</w:t>
      </w:r>
      <w:r>
        <w:rPr>
          <w:rFonts w:ascii="Times New Roman" w:eastAsia="Times New Roman" w:hAnsi="Times New Roman" w:cs="Times New Roman"/>
          <w:spacing w:val="-5"/>
          <w:lang w:eastAsia="ru-RU"/>
        </w:rPr>
        <w:t>11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>_____201</w:t>
      </w:r>
      <w:r>
        <w:rPr>
          <w:rFonts w:ascii="Times New Roman" w:eastAsia="Times New Roman" w:hAnsi="Times New Roman" w:cs="Times New Roman"/>
          <w:spacing w:val="-5"/>
          <w:lang w:eastAsia="ru-RU"/>
        </w:rPr>
        <w:t>7</w:t>
      </w:r>
      <w:r w:rsidRPr="003945A3">
        <w:rPr>
          <w:rFonts w:ascii="Times New Roman" w:eastAsia="Times New Roman" w:hAnsi="Times New Roman" w:cs="Times New Roman"/>
          <w:spacing w:val="-5"/>
          <w:lang w:eastAsia="ru-RU"/>
        </w:rPr>
        <w:t xml:space="preserve"> г.   </w:t>
      </w:r>
      <w:r w:rsidRPr="003945A3">
        <w:rPr>
          <w:rFonts w:ascii="Times New Roman" w:eastAsia="Times New Roman" w:hAnsi="Times New Roman" w:cs="Times New Roman"/>
          <w:bCs/>
          <w:lang w:eastAsia="ru-RU"/>
        </w:rPr>
        <w:t xml:space="preserve">№ </w:t>
      </w:r>
      <w:r w:rsidRPr="003945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_117___</w:t>
      </w:r>
      <w:r w:rsidRPr="003945A3">
        <w:rPr>
          <w:rFonts w:ascii="Times New Roman" w:eastAsia="Times New Roman" w:hAnsi="Times New Roman" w:cs="Times New Roman"/>
          <w:b/>
          <w:bCs/>
          <w:lang w:eastAsia="ru-RU"/>
        </w:rPr>
        <w:t>__</w:t>
      </w:r>
    </w:p>
    <w:p w:rsidR="00E61FFB" w:rsidRPr="00955702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5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азмер платы </w:t>
      </w:r>
      <w:r w:rsidRPr="003E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 содержание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ремонт</w:t>
      </w:r>
      <w:r w:rsidRPr="003E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жилого помещения для нанимателей жилых помещений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(платы за наем)</w:t>
      </w:r>
      <w:r w:rsidRPr="003E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занимаемых по договорам социального найма или договорам найма жилых помещений 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Холязинского сельсовета</w:t>
      </w:r>
      <w:r w:rsidRPr="003E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Большемурашкинского муниципального района, для собственников жилых помещений, которые не приняли решение о выборе </w:t>
      </w:r>
      <w:hyperlink r:id="rId9" w:history="1">
        <w:r w:rsidRPr="003E34C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способа</w:t>
        </w:r>
      </w:hyperlink>
      <w:r w:rsidRPr="003E34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управления многоквартирным домом и для собственников жилых помещений, которые на их общем собрании не приняли решения об установлении размера платы за содержание  жилого помещения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9557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E61FFB" w:rsidRDefault="00E61FFB" w:rsidP="00E61FFB">
      <w:pPr>
        <w:shd w:val="clear" w:color="auto" w:fill="FFFFFF"/>
        <w:spacing w:after="0" w:line="322" w:lineRule="exact"/>
        <w:ind w:right="43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07" w:type="dxa"/>
        <w:tblInd w:w="-72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032"/>
        <w:gridCol w:w="2814"/>
        <w:gridCol w:w="2693"/>
      </w:tblGrid>
      <w:tr w:rsidR="001C5220" w:rsidRPr="003E19F3" w:rsidTr="004D48F9">
        <w:trPr>
          <w:trHeight w:val="458"/>
        </w:trPr>
        <w:tc>
          <w:tcPr>
            <w:tcW w:w="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C5220" w:rsidRPr="003E19F3" w:rsidRDefault="001C5220" w:rsidP="004D48F9">
            <w:pPr>
              <w:widowControl w:val="0"/>
              <w:shd w:val="clear" w:color="auto" w:fill="FFFFFF"/>
              <w:tabs>
                <w:tab w:val="left" w:pos="-123"/>
              </w:tabs>
              <w:autoSpaceDE w:val="0"/>
              <w:autoSpaceDN w:val="0"/>
              <w:adjustRightInd w:val="0"/>
              <w:spacing w:line="317" w:lineRule="exact"/>
              <w:ind w:left="206" w:right="211" w:hanging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услуг и степень 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благоустройства жилищного фонда</w:t>
            </w:r>
          </w:p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5F35F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Размер платы </w:t>
            </w:r>
            <w:r w:rsidRPr="003E1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  содержание и ремонт  жилого помещения 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 xml:space="preserve">с НДС </w:t>
            </w:r>
            <w:r w:rsidR="005F35F6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*</w:t>
            </w:r>
          </w:p>
        </w:tc>
      </w:tr>
      <w:tr w:rsidR="001C5220" w:rsidRPr="003E19F3" w:rsidTr="001C5220">
        <w:trPr>
          <w:trHeight w:hRule="exact" w:val="1466"/>
        </w:trPr>
        <w:tc>
          <w:tcPr>
            <w:tcW w:w="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line="317" w:lineRule="exact"/>
              <w:ind w:right="2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2" w:lineRule="exact"/>
              <w:ind w:left="312" w:right="317" w:firstLine="298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Ставка,   руб. за  кв.м. 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общей площ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 с 01.01.2018 г. по30.06.2018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Ставка,   руб.   за   кв.м. 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общей площ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ади с 01.07.2018 г. по31.12.2018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5220" w:rsidRPr="003E19F3" w:rsidRDefault="001C5220" w:rsidP="001C522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</w:pPr>
          </w:p>
        </w:tc>
      </w:tr>
      <w:tr w:rsidR="001C5220" w:rsidRPr="003E19F3" w:rsidTr="004D48F9">
        <w:trPr>
          <w:trHeight w:val="68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Содержание   и   ремонт   (техническое </w:t>
            </w: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обслуживание) дома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1C5220" w:rsidRPr="003E19F3" w:rsidTr="004D48F9">
        <w:trPr>
          <w:trHeight w:hRule="exact" w:val="26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Жилые дома всех видов</w:t>
            </w:r>
          </w:p>
          <w:p w:rsidR="001C5220" w:rsidRPr="003E19F3" w:rsidRDefault="001C5220" w:rsidP="004D48F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5220" w:rsidRPr="003E19F3" w:rsidRDefault="001C5220" w:rsidP="004D48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220" w:rsidRPr="003E19F3" w:rsidTr="004D48F9">
        <w:trPr>
          <w:trHeight w:hRule="exact" w:val="1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  с местами общего пользования (подъезды, подвалы, чердаки), ВДГО, индивидуальное отопление, ЦХВС ,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12,85</w:t>
            </w:r>
          </w:p>
        </w:tc>
      </w:tr>
      <w:tr w:rsidR="001C5220" w:rsidRPr="003E19F3" w:rsidTr="004D48F9">
        <w:trPr>
          <w:trHeight w:hRule="exact" w:val="127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  с местами общего пользования  (подъезды, подвалы ), ВДГО,  индивидуальное отопление, ЦХВС,  ЦВО</w:t>
            </w:r>
          </w:p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12,52</w:t>
            </w:r>
          </w:p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12,77</w:t>
            </w:r>
          </w:p>
        </w:tc>
      </w:tr>
      <w:tr w:rsidR="001C5220" w:rsidRPr="003E19F3" w:rsidTr="004D48F9">
        <w:trPr>
          <w:trHeight w:hRule="exact" w:val="1275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  с местами общего пользования (подъезды), ВДГО,   индивидуальное отопление, ЦХВС, 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12,75</w:t>
            </w:r>
          </w:p>
        </w:tc>
      </w:tr>
      <w:tr w:rsidR="001C5220" w:rsidRPr="003E19F3" w:rsidTr="004D48F9">
        <w:trPr>
          <w:trHeight w:hRule="exact" w:val="1278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дома  без мест общего пользования , ВДГО, индивидуальное отопление, ЦХВС,  ЦВО.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12,60</w:t>
            </w:r>
          </w:p>
        </w:tc>
      </w:tr>
      <w:tr w:rsidR="001C5220" w:rsidRPr="003E19F3" w:rsidTr="004D48F9">
        <w:trPr>
          <w:trHeight w:hRule="exact" w:val="1350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Жилые дома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  местами  общего пользования</w:t>
            </w: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(чердаки), ВДГО, ЦХВС , с местным  выгребом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12,70</w:t>
            </w:r>
          </w:p>
        </w:tc>
      </w:tr>
      <w:tr w:rsidR="001C5220" w:rsidRPr="003E19F3" w:rsidTr="004D48F9">
        <w:trPr>
          <w:trHeight w:hRule="exact" w:val="100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5220" w:rsidRPr="003E19F3" w:rsidRDefault="001C5220" w:rsidP="004D48F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4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Жилые  дома с  местами  общего  пользования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19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(чердаки) ,ВДГО,  без местного  выгреба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C5220" w:rsidRPr="003E19F3" w:rsidRDefault="001C5220" w:rsidP="004D48F9">
            <w:pPr>
              <w:ind w:hanging="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9F3">
              <w:rPr>
                <w:rFonts w:ascii="Times New Roman" w:hAnsi="Times New Roman" w:cs="Times New Roman"/>
                <w:b/>
                <w:sz w:val="24"/>
                <w:szCs w:val="24"/>
              </w:rPr>
              <w:t>12,06</w:t>
            </w:r>
          </w:p>
        </w:tc>
      </w:tr>
    </w:tbl>
    <w:p w:rsidR="001C5220" w:rsidRDefault="001C5220" w:rsidP="001C5220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35F6" w:rsidRPr="00F80736" w:rsidRDefault="005F35F6" w:rsidP="005F35F6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lang w:eastAsia="ru-RU"/>
        </w:rPr>
      </w:pPr>
      <w:r w:rsidRPr="00B37C99">
        <w:rPr>
          <w:rFonts w:ascii="Times New Roman" w:eastAsia="Times New Roman" w:hAnsi="Times New Roman" w:cs="Times New Roman"/>
          <w:lang w:eastAsia="ru-RU"/>
        </w:rPr>
        <w:t>*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7C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стоимости услуг по вывозу, сбору и утилизации ТБО, без учета расходов на приобретение коммунальных ресурсов, используемых в целях содержания общего имущества в МКД. Данные расходы включаются в состав платы в соответствии с действующим законодательством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C5220" w:rsidRDefault="001C5220" w:rsidP="005F35F6">
      <w:pPr>
        <w:shd w:val="clear" w:color="auto" w:fill="FFFFFF"/>
        <w:spacing w:before="5" w:after="0"/>
        <w:rPr>
          <w:rFonts w:ascii="Times New Roman" w:eastAsia="Times New Roman" w:hAnsi="Times New Roman" w:cs="Times New Roman"/>
          <w:lang w:eastAsia="ru-RU"/>
        </w:rPr>
      </w:pPr>
    </w:p>
    <w:p w:rsidR="001C5220" w:rsidRDefault="001C5220" w:rsidP="001C5220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C5220" w:rsidRPr="003945A3" w:rsidRDefault="001C5220" w:rsidP="001C5220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D18" w:rsidRPr="003945A3" w:rsidRDefault="00255D18" w:rsidP="00E61FFB">
      <w:pPr>
        <w:shd w:val="clear" w:color="auto" w:fill="FFFFFF"/>
        <w:spacing w:before="5" w:after="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255D18" w:rsidRPr="003945A3" w:rsidSect="007A36A9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532B"/>
    <w:multiLevelType w:val="singleLevel"/>
    <w:tmpl w:val="6DEC99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1">
    <w:nsid w:val="774B5BF0"/>
    <w:multiLevelType w:val="hybridMultilevel"/>
    <w:tmpl w:val="0D140A28"/>
    <w:lvl w:ilvl="0" w:tplc="7F76643E">
      <w:start w:val="1"/>
      <w:numFmt w:val="decimal"/>
      <w:lvlText w:val="%1."/>
      <w:lvlJc w:val="left"/>
      <w:pPr>
        <w:tabs>
          <w:tab w:val="num" w:pos="2248"/>
        </w:tabs>
        <w:ind w:left="2248" w:hanging="12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98"/>
        </w:tabs>
        <w:ind w:left="20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69"/>
    <w:rsid w:val="00062B0D"/>
    <w:rsid w:val="00092DF9"/>
    <w:rsid w:val="000D0079"/>
    <w:rsid w:val="0010529B"/>
    <w:rsid w:val="00130668"/>
    <w:rsid w:val="001C5220"/>
    <w:rsid w:val="00255D18"/>
    <w:rsid w:val="002E679D"/>
    <w:rsid w:val="003945A3"/>
    <w:rsid w:val="003E34C0"/>
    <w:rsid w:val="004869D7"/>
    <w:rsid w:val="00495749"/>
    <w:rsid w:val="005F35F6"/>
    <w:rsid w:val="007A36A9"/>
    <w:rsid w:val="007B1F76"/>
    <w:rsid w:val="007D21B7"/>
    <w:rsid w:val="00873A68"/>
    <w:rsid w:val="008745E4"/>
    <w:rsid w:val="008A3F69"/>
    <w:rsid w:val="008E674C"/>
    <w:rsid w:val="00955702"/>
    <w:rsid w:val="00971414"/>
    <w:rsid w:val="00987F8C"/>
    <w:rsid w:val="00A373ED"/>
    <w:rsid w:val="00A83072"/>
    <w:rsid w:val="00B44375"/>
    <w:rsid w:val="00B71C22"/>
    <w:rsid w:val="00B82F8D"/>
    <w:rsid w:val="00BC584C"/>
    <w:rsid w:val="00C206C5"/>
    <w:rsid w:val="00CE70BE"/>
    <w:rsid w:val="00D36C8C"/>
    <w:rsid w:val="00E61FFB"/>
    <w:rsid w:val="00E7646B"/>
    <w:rsid w:val="00EC4FC2"/>
    <w:rsid w:val="00F5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35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3E34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E34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ABAC9F788B3BA595E160AD8E657B041258E9B15360AD95319A1049FA6FD4810813A0FE8CD1B330vDq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4ABAC9F788B3BA595E160AD8E657B041258E9B15360AD95319A1049FA6FD4810813A0FE8CD1B330vDq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BAC9F788B3BA595E160AD8E657B041258E9B15360AD95319A1049FA6FD4810813A0FE8CD1B330vDq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Zolotova_NV</dc:creator>
  <cp:keywords/>
  <dc:description/>
  <cp:lastModifiedBy>Zolotova_NV</cp:lastModifiedBy>
  <cp:revision>29</cp:revision>
  <dcterms:created xsi:type="dcterms:W3CDTF">2016-05-19T04:40:00Z</dcterms:created>
  <dcterms:modified xsi:type="dcterms:W3CDTF">2017-11-21T11:51:00Z</dcterms:modified>
</cp:coreProperties>
</file>