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9C" w:rsidRDefault="0018519C" w:rsidP="00185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</w:t>
      </w:r>
    </w:p>
    <w:p w:rsidR="0018519C" w:rsidRDefault="0018519C" w:rsidP="00185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Большемурашкинского </w:t>
      </w:r>
    </w:p>
    <w:p w:rsidR="0018519C" w:rsidRDefault="0018519C" w:rsidP="0018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425E64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42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на территории Большемурашкинского муниципального района» на 2017 – 2020 годы</w:t>
      </w:r>
      <w:r w:rsidR="0042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</w:p>
    <w:p w:rsidR="0018519C" w:rsidRDefault="0018519C" w:rsidP="00185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19C" w:rsidRDefault="0018519C" w:rsidP="00185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Общественное обсуждение проекта постановления администрации Большемурашкинского  муниципального района 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425E64"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</w:t>
      </w:r>
      <w:r w:rsidR="00425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 автотранспорта на территории Большемурашкинского муниципального района» на 2017 – 2020 годы</w:t>
      </w:r>
      <w:r w:rsidR="00425E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Комитетом по управлению экономикой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открытости и доступности информации об основных положениях документов стратегического планирования.</w:t>
      </w:r>
    </w:p>
    <w:p w:rsidR="0018519C" w:rsidRDefault="0018519C" w:rsidP="00185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19C" w:rsidRDefault="0018519C" w:rsidP="00185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от граждан, организаций и общественных объединений по проекту постановления администрации Большемурашкинского муниципального района  могут быть направлены с 02.09.2016 по 12.09.2016  на адрес комитета по управлению экономикой администрации Большемурашкинского района: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komecon@adm.bmr.nnov.ru</w:t>
        </w:r>
      </w:hyperlink>
    </w:p>
    <w:p w:rsidR="0018519C" w:rsidRDefault="0018519C" w:rsidP="001851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519C" w:rsidRDefault="0018519C" w:rsidP="00185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  8(831 67) 5-21-54.</w:t>
      </w: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425E64" w:rsidRDefault="00425E64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18519C" w:rsidRDefault="0018519C" w:rsidP="002B0E29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2B0E29" w:rsidRPr="009E05E7" w:rsidRDefault="008878DE" w:rsidP="002B0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FFAD8F4" wp14:editId="0561F511">
            <wp:simplePos x="0" y="0"/>
            <wp:positionH relativeFrom="column">
              <wp:posOffset>2978342</wp:posOffset>
            </wp:positionH>
            <wp:positionV relativeFrom="paragraph">
              <wp:posOffset>-33451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  <w:hyperlink r:id="rId9" w:tgtFrame="_blank" w:tooltip="Напечатать" w:history="1">
        <w:r w:rsidR="009E05E7" w:rsidRPr="009E05E7">
          <w:rPr>
            <w:rFonts w:ascii="Times New Roman" w:eastAsia="Times New Roman" w:hAnsi="Times New Roman" w:cs="Times New Roman"/>
            <w:strike/>
            <w:color w:val="0000FF"/>
            <w:sz w:val="24"/>
            <w:szCs w:val="24"/>
            <w:u w:val="single"/>
            <w:lang w:eastAsia="ru-RU"/>
          </w:rPr>
          <w:t>﻿</w:t>
        </w:r>
      </w:hyperlink>
      <w:r w:rsidR="009E05E7" w:rsidRPr="009E05E7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>﻿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sz w:val="28"/>
          <w:szCs w:val="24"/>
          <w:lang w:eastAsia="ru-RU"/>
        </w:rPr>
        <w:t>Нижегородской области</w:t>
      </w:r>
    </w:p>
    <w:p w:rsidR="00DF30BD" w:rsidRPr="00DF30BD" w:rsidRDefault="00DF30BD" w:rsidP="00DF30BD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</w:pPr>
      <w:r w:rsidRPr="00DF30BD">
        <w:rPr>
          <w:rFonts w:ascii="Bookman Old Style" w:eastAsia="Calibri" w:hAnsi="Bookman Old Style" w:cs="Times New Roman"/>
          <w:b/>
          <w:bCs/>
          <w:sz w:val="48"/>
          <w:szCs w:val="24"/>
          <w:lang w:eastAsia="ru-RU"/>
        </w:rPr>
        <w:t>ПОСТАНОВЛЕНИЕ</w: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05292" wp14:editId="67EC6F9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Calibri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22223" wp14:editId="3F648596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DF30BD" w:rsidRPr="00DF30BD" w:rsidRDefault="00DF30BD" w:rsidP="00DF30BD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_________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DF30BD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 </w:t>
      </w:r>
      <w:r w:rsidR="008878DE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_______</w:t>
      </w:r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A61719" w:rsidRPr="00DF30BD" w:rsidRDefault="00A61719" w:rsidP="00A617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звитие пассажирского авто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транспорта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Большемурашкинского муниципального района 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7-2020</w:t>
      </w:r>
      <w:r w:rsidRPr="00DF30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4F3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179 Бюджетного кодекса Российской Федерации, постановлением администрации Большемурашкинского муниципального района от 21.03.2014 № 175 "Об утверждении Порядка разработки, реализации и оценки эффективности муниципальных программ Большемурашкинского муниципального района" (с     изменениями)     администрация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Большемурашкинского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24F3">
        <w:rPr>
          <w:rFonts w:ascii="Times New Roman" w:hAnsi="Times New Roman" w:cs="Times New Roman"/>
          <w:sz w:val="28"/>
          <w:szCs w:val="28"/>
        </w:rPr>
        <w:t xml:space="preserve">   муниципального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4F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9E05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пассажирского автотранспорта на территории Большемурашкинского муниципального района» на 2017 – 2020 годы (далее 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управлению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 формировании проекта районного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последующие годы предусматривать средства на реализацию данной Программы с уточнением объемов ее финансирования, исходя из возможностей местного бюджета.</w:t>
      </w: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>.Е.</w:t>
      </w: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A61719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Start w:id="2" w:name="Par38"/>
      <w:bookmarkStart w:id="3" w:name="Par40"/>
      <w:bookmarkEnd w:id="1"/>
      <w:bookmarkEnd w:id="2"/>
      <w:bookmarkEnd w:id="3"/>
      <w:r w:rsidRPr="00FC6E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A61719" w:rsidRDefault="00A61719" w:rsidP="00A61719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_______________ № _____</w:t>
      </w:r>
    </w:p>
    <w:p w:rsidR="00A61719" w:rsidRPr="00FB32D1" w:rsidRDefault="00A61719" w:rsidP="00A61719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1719" w:rsidRDefault="00A61719" w:rsidP="00A617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A61719" w:rsidRPr="00FD24F3" w:rsidRDefault="00A61719" w:rsidP="00A617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пассажирского автотранспорта на территории Большемурашкинского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 (далее – Программа)</w:t>
      </w:r>
    </w:p>
    <w:p w:rsidR="00A61719" w:rsidRPr="00CD3159" w:rsidRDefault="00A61719" w:rsidP="00A61719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206"/>
      </w:tblGrid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</w:tr>
      <w:tr w:rsidR="00A61719" w:rsidRPr="009E05E7" w:rsidTr="002153A0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F677AC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2F274D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A64EA6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утвержденным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анализ выполненных регулярных перевозок по муниципальным маршрутам.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A61719" w:rsidRPr="009E05E7" w:rsidTr="002153A0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Программы за счет средств районного бюджета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</w:tr>
      <w:tr w:rsidR="00A61719" w:rsidRPr="009E05E7" w:rsidTr="002153A0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6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2020 года будут достигнуты следующие индикаторы и непосредственные результаты Программы:</w:t>
            </w:r>
          </w:p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6171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ПАП», в общей численности населения района;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  <w:p w:rsidR="00A61719" w:rsidRPr="00D10129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1719" w:rsidRPr="009E05E7" w:rsidRDefault="00A61719" w:rsidP="0021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количества имеющегося подвижного состава, выходящего на линию;</w:t>
            </w:r>
          </w:p>
        </w:tc>
      </w:tr>
    </w:tbl>
    <w:p w:rsidR="00A61719" w:rsidRPr="00CD315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201"/>
      <w:bookmarkStart w:id="5" w:name="Par203"/>
      <w:bookmarkEnd w:id="4"/>
      <w:bookmarkEnd w:id="5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Текстовая часть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05"/>
      <w:bookmarkEnd w:id="6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предоставления транспортных услуг населению и организация транспортного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является полномочиями муниципального района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Устойчивое и эффективное функционирование данного вида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Большемурашкинского муниципального района функционирует пассажирское предприятие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население рабочего посёлка Большое Мурашкино и сельских населённых пунктов.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района.</w:t>
      </w:r>
    </w:p>
    <w:p w:rsidR="00A61719" w:rsidRPr="00AF094A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автобусов, из которых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Автобусы получены по областной целевой программе на условиях лизинга при софинансирования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автобуса имеют износ более 50 %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1719" w:rsidRPr="00E9475E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как следствие, убыточностью  пассажирских перевозок. Поэтому была принята вынужденная мера сокращения количества выполняемых рейсов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регулярным автобусным маршрутам.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обслуживает 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междугородных и 7 пригородных маршрутов.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протяжённость маршрутов составляет 600,4 км, в том числе пригородной маршрутной сети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143,7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Предприятие является убыточным в связи со снижением пассажиропотока, в результате чего наполняемость маршрутов пригородного сообщения составляет в среднем </w:t>
      </w:r>
      <w:r w:rsidRPr="00AF2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рейс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25,7 </w:t>
      </w: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вместимости подвижного состава.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возникающих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E2039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муниципального района» на 2017 – 2020 годы.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7" w:name="Par228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A61719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1719" w:rsidRPr="0097318C" w:rsidRDefault="00A61719" w:rsidP="00A617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8" w:name="Par237"/>
      <w:bookmarkEnd w:id="8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Pr="0097318C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A61719" w:rsidRDefault="00A61719" w:rsidP="00A6171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перевозок по муниципальным маршрутам.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9" w:name="Par242"/>
      <w:bookmarkStart w:id="10" w:name="Par467"/>
      <w:bookmarkEnd w:id="9"/>
      <w:bookmarkEnd w:id="10"/>
    </w:p>
    <w:p w:rsidR="00A61719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A61719" w:rsidRPr="009E05E7" w:rsidRDefault="00A61719" w:rsidP="00A61719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1719" w:rsidRPr="009E05E7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МУП «</w:t>
      </w:r>
      <w:proofErr w:type="spellStart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ольшем</w:t>
      </w:r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урашкинское</w:t>
      </w:r>
      <w:proofErr w:type="spellEnd"/>
      <w:r w:rsidRPr="00EA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ПАП», в общей численности населения района;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существующ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перевозок с одновременным обеспечением круглогодичной транспортной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C68D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сохранение доли выполнения пассажирских рейсов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;</w:t>
      </w:r>
    </w:p>
    <w:p w:rsidR="00A61719" w:rsidRDefault="00A61719" w:rsidP="00A6171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8DE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количества имеющегося подвижного состава, выходящего на линию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472"/>
      <w:bookmarkEnd w:id="11"/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505" w:type="dxa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25"/>
        <w:gridCol w:w="728"/>
        <w:gridCol w:w="49"/>
        <w:gridCol w:w="1510"/>
        <w:gridCol w:w="1390"/>
        <w:gridCol w:w="28"/>
        <w:gridCol w:w="1276"/>
        <w:gridCol w:w="1148"/>
      </w:tblGrid>
      <w:tr w:rsidR="00A61719" w:rsidRPr="009E05E7" w:rsidTr="002153A0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результата</w:t>
            </w:r>
          </w:p>
        </w:tc>
      </w:tr>
      <w:tr w:rsidR="00A61719" w:rsidRPr="009E05E7" w:rsidTr="002153A0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61719" w:rsidRPr="009E05E7" w:rsidTr="002153A0">
        <w:tc>
          <w:tcPr>
            <w:tcW w:w="105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ar486"/>
            <w:bookmarkEnd w:id="12"/>
          </w:p>
        </w:tc>
      </w:tr>
      <w:tr w:rsidR="00A61719" w:rsidRPr="009E05E7" w:rsidTr="002153A0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транспортной услуги МУП «Б-</w:t>
            </w:r>
            <w:proofErr w:type="spellStart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ПАП»,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F24BB5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1719" w:rsidRPr="009E05E7" w:rsidTr="002153A0">
        <w:trPr>
          <w:trHeight w:val="192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существующ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 с одновременным обеспечением круглогодичной транспортной доступности;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61719" w:rsidRPr="009E05E7" w:rsidTr="002153A0">
        <w:trPr>
          <w:trHeight w:val="91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61719" w:rsidRPr="009E05E7" w:rsidTr="002153A0">
        <w:trPr>
          <w:trHeight w:val="123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-сохранение количества имеющегося подвижного состава, выходящего на линию.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5B39F3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40360B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710"/>
      <w:bookmarkEnd w:id="13"/>
    </w:p>
    <w:p w:rsidR="00A61719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A61719" w:rsidRPr="009E05E7" w:rsidRDefault="00A61719" w:rsidP="00A61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Pr="009E05E7" w:rsidRDefault="00A61719" w:rsidP="00A61719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A61719" w:rsidRPr="009E05E7" w:rsidRDefault="00A61719" w:rsidP="00A617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9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977"/>
        <w:gridCol w:w="1984"/>
        <w:gridCol w:w="787"/>
        <w:gridCol w:w="772"/>
        <w:gridCol w:w="709"/>
        <w:gridCol w:w="851"/>
        <w:gridCol w:w="850"/>
      </w:tblGrid>
      <w:tr w:rsidR="00A61719" w:rsidRPr="009E05E7" w:rsidTr="002153A0"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A61719" w:rsidRPr="009E05E7" w:rsidRDefault="00A61719" w:rsidP="002153A0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39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A61719" w:rsidRPr="009E05E7" w:rsidTr="002153A0"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61719" w:rsidRPr="009E05E7" w:rsidTr="002153A0">
        <w:trPr>
          <w:trHeight w:val="40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61719" w:rsidRPr="009E05E7" w:rsidTr="002153A0">
        <w:trPr>
          <w:cantSplit/>
          <w:trHeight w:val="5252"/>
        </w:trPr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экономикой;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A61719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«Больше-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61719" w:rsidRPr="009E05E7" w:rsidRDefault="00A61719" w:rsidP="002153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</w:tr>
    </w:tbl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средств из других источников не планируется.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автотранспорта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A61719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риски связаны с 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прекращение программных мероприятий. Способами ограничения финансовых рисков выступают: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A61719" w:rsidRPr="00FD24F3" w:rsidRDefault="00A61719" w:rsidP="00A6171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средств областного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внебюджетного финансирования.</w:t>
      </w:r>
    </w:p>
    <w:p w:rsidR="00A61719" w:rsidRPr="009E05E7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A61719" w:rsidRPr="009E05E7" w:rsidRDefault="00A61719" w:rsidP="00A61719">
      <w:pPr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отдельных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их результативность оценивается исходя из соответствия достигнутых результатов поставленной цели значениям целевых индикаторов и показателей Программы. </w:t>
      </w: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719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A61719" w:rsidSect="00A617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61719" w:rsidRPr="009E05E7" w:rsidRDefault="00A61719" w:rsidP="00A617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Пожалуйста, подождите</w:t>
      </w:r>
    </w:p>
    <w:p w:rsidR="00A61719" w:rsidRPr="009E05E7" w:rsidRDefault="00A61719" w:rsidP="00A617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61719" w:rsidRPr="00721A5D" w:rsidRDefault="00A61719" w:rsidP="00A61719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A61719" w:rsidRPr="00CD3159" w:rsidRDefault="00A61719" w:rsidP="00A61719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587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134"/>
        <w:gridCol w:w="1417"/>
        <w:gridCol w:w="1559"/>
        <w:gridCol w:w="1276"/>
        <w:gridCol w:w="992"/>
        <w:gridCol w:w="1134"/>
        <w:gridCol w:w="1134"/>
        <w:gridCol w:w="993"/>
        <w:gridCol w:w="1701"/>
        <w:gridCol w:w="1559"/>
      </w:tblGrid>
      <w:tr w:rsidR="00A61719" w:rsidRPr="000B3E8A" w:rsidTr="00A61719">
        <w:trPr>
          <w:cantSplit/>
          <w:trHeight w:val="240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Программы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бюджетам  (тыс. руб.)</w:t>
            </w:r>
          </w:p>
        </w:tc>
        <w:tc>
          <w:tcPr>
            <w:tcW w:w="5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(целевые индикаторы) </w:t>
            </w: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сацию</w:t>
            </w:r>
            <w:proofErr w:type="spellEnd"/>
            <w:proofErr w:type="gramEnd"/>
            <w:r w:rsidRPr="00E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затрат по оказанию услуг населению по перевозке пассажирским  транспортом  по тарифам, регулируемым Прави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Нижегородской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  <w:p w:rsidR="00A61719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701946" w:rsidRDefault="00A61719" w:rsidP="00215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EA0F3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действующей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60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9E05E7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маршрутной сети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721A5D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1719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экономикой, МУП «Боль-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(по согласованию)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719" w:rsidRPr="000B3E8A" w:rsidRDefault="00A61719" w:rsidP="0021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719" w:rsidRPr="000B3E8A" w:rsidTr="00A61719">
        <w:trPr>
          <w:cantSplit/>
          <w:trHeight w:val="240"/>
        </w:trPr>
        <w:tc>
          <w:tcPr>
            <w:tcW w:w="1587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719" w:rsidRPr="002C312E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годам: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за счет местного бюджета- всего 12000,0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.,: в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 2017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2018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2019 г. –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2020 г.- </w:t>
            </w:r>
            <w:r w:rsidRPr="002C312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3000,0</w:t>
            </w:r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proofErr w:type="spellEnd"/>
            <w:r w:rsidRPr="002C31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1719" w:rsidRPr="000B3E8A" w:rsidRDefault="00A61719" w:rsidP="0021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1719" w:rsidRDefault="00A61719" w:rsidP="00A617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1719" w:rsidSect="00027082">
          <w:pgSz w:w="16838" w:h="11906" w:orient="landscape"/>
          <w:pgMar w:top="426" w:right="425" w:bottom="709" w:left="709" w:header="709" w:footer="709" w:gutter="0"/>
          <w:cols w:space="708"/>
          <w:docGrid w:linePitch="360"/>
        </w:sectPr>
      </w:pPr>
    </w:p>
    <w:p w:rsidR="00DF30BD" w:rsidRPr="00DF30BD" w:rsidRDefault="00DF30BD" w:rsidP="00DF30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DF30BD" w:rsidRPr="00DF30BD" w:rsidSect="00A61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82B21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9C4"/>
    <w:multiLevelType w:val="hybridMultilevel"/>
    <w:tmpl w:val="E0EAF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F"/>
    <w:rsid w:val="000176F7"/>
    <w:rsid w:val="00027082"/>
    <w:rsid w:val="00036DD2"/>
    <w:rsid w:val="000B3E8A"/>
    <w:rsid w:val="000B51E3"/>
    <w:rsid w:val="000B68F8"/>
    <w:rsid w:val="00113B54"/>
    <w:rsid w:val="001731F5"/>
    <w:rsid w:val="0018519C"/>
    <w:rsid w:val="001D693B"/>
    <w:rsid w:val="002159C8"/>
    <w:rsid w:val="002721E8"/>
    <w:rsid w:val="00290903"/>
    <w:rsid w:val="00296314"/>
    <w:rsid w:val="00296FFD"/>
    <w:rsid w:val="002B0E29"/>
    <w:rsid w:val="0040360B"/>
    <w:rsid w:val="00425E64"/>
    <w:rsid w:val="004C16E2"/>
    <w:rsid w:val="00505FEC"/>
    <w:rsid w:val="00520984"/>
    <w:rsid w:val="00540E3F"/>
    <w:rsid w:val="00552F39"/>
    <w:rsid w:val="005579C6"/>
    <w:rsid w:val="005A675F"/>
    <w:rsid w:val="005B14D2"/>
    <w:rsid w:val="005B39F3"/>
    <w:rsid w:val="005C0B1C"/>
    <w:rsid w:val="006B1D3F"/>
    <w:rsid w:val="006F6216"/>
    <w:rsid w:val="00701946"/>
    <w:rsid w:val="00721A5D"/>
    <w:rsid w:val="00731FE7"/>
    <w:rsid w:val="00747C68"/>
    <w:rsid w:val="00782793"/>
    <w:rsid w:val="007D469A"/>
    <w:rsid w:val="007F0231"/>
    <w:rsid w:val="00806462"/>
    <w:rsid w:val="00852B71"/>
    <w:rsid w:val="008878DE"/>
    <w:rsid w:val="00902658"/>
    <w:rsid w:val="00970049"/>
    <w:rsid w:val="00997394"/>
    <w:rsid w:val="009A3BF9"/>
    <w:rsid w:val="009B6211"/>
    <w:rsid w:val="009E05E7"/>
    <w:rsid w:val="00A506CF"/>
    <w:rsid w:val="00A55030"/>
    <w:rsid w:val="00A61719"/>
    <w:rsid w:val="00A816B5"/>
    <w:rsid w:val="00A847E4"/>
    <w:rsid w:val="00AA48F2"/>
    <w:rsid w:val="00AF094A"/>
    <w:rsid w:val="00AF64FE"/>
    <w:rsid w:val="00B02226"/>
    <w:rsid w:val="00B1770A"/>
    <w:rsid w:val="00B70A5C"/>
    <w:rsid w:val="00BD1CD9"/>
    <w:rsid w:val="00C10140"/>
    <w:rsid w:val="00C820E3"/>
    <w:rsid w:val="00C85E34"/>
    <w:rsid w:val="00CB41A3"/>
    <w:rsid w:val="00CB4C04"/>
    <w:rsid w:val="00CB5DC8"/>
    <w:rsid w:val="00CD3159"/>
    <w:rsid w:val="00CE0F7A"/>
    <w:rsid w:val="00D10129"/>
    <w:rsid w:val="00D45714"/>
    <w:rsid w:val="00D73C28"/>
    <w:rsid w:val="00D96EA1"/>
    <w:rsid w:val="00DF03D8"/>
    <w:rsid w:val="00DF30BD"/>
    <w:rsid w:val="00E20393"/>
    <w:rsid w:val="00E925BE"/>
    <w:rsid w:val="00E9475E"/>
    <w:rsid w:val="00EA0F3A"/>
    <w:rsid w:val="00F24BB5"/>
    <w:rsid w:val="00F60C2A"/>
    <w:rsid w:val="00F62BC4"/>
    <w:rsid w:val="00F677AC"/>
    <w:rsid w:val="00F7211D"/>
    <w:rsid w:val="00FB6AD5"/>
    <w:rsid w:val="00FD24F3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C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E05E7"/>
  </w:style>
  <w:style w:type="character" w:styleId="a3">
    <w:name w:val="Hyperlink"/>
    <w:basedOn w:val="a0"/>
    <w:uiPriority w:val="99"/>
    <w:semiHidden/>
    <w:unhideWhenUsed/>
    <w:rsid w:val="009E05E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05E7"/>
    <w:rPr>
      <w:color w:val="800080"/>
      <w:u w:val="single"/>
    </w:rPr>
  </w:style>
  <w:style w:type="character" w:customStyle="1" w:styleId="b-headerbuttons">
    <w:name w:val="b-header__buttons"/>
    <w:basedOn w:val="a0"/>
    <w:rsid w:val="009E05E7"/>
  </w:style>
  <w:style w:type="character" w:customStyle="1" w:styleId="b-buttoninner">
    <w:name w:val="b-button__inner"/>
    <w:basedOn w:val="a0"/>
    <w:rsid w:val="009E05E7"/>
  </w:style>
  <w:style w:type="character" w:customStyle="1" w:styleId="b-button">
    <w:name w:val="b-button"/>
    <w:basedOn w:val="a0"/>
    <w:rsid w:val="009E05E7"/>
  </w:style>
  <w:style w:type="character" w:customStyle="1" w:styleId="b-headertitle">
    <w:name w:val="b-header__title"/>
    <w:basedOn w:val="a0"/>
    <w:rsid w:val="009E05E7"/>
  </w:style>
  <w:style w:type="paragraph" w:customStyle="1" w:styleId="d1">
    <w:name w:val="d1"/>
    <w:basedOn w:val="a"/>
    <w:rsid w:val="009E05E7"/>
    <w:pPr>
      <w:spacing w:before="1133" w:after="1133" w:line="240" w:lineRule="auto"/>
      <w:ind w:left="1417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1">
    <w:name w:val="s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2">
    <w:name w:val="p2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p3">
    <w:name w:val="p3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t1">
    <w:name w:val="t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">
    <w:name w:val="r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">
    <w:name w:val="td1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E05E7"/>
    <w:pPr>
      <w:spacing w:before="100" w:beforeAutospacing="1" w:after="100" w:afterAutospacing="1" w:line="240" w:lineRule="auto"/>
      <w:ind w:right="-19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2">
    <w:name w:val="td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">
    <w:name w:val="td3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E05E7"/>
    <w:pPr>
      <w:spacing w:before="100" w:beforeAutospacing="1" w:after="100" w:afterAutospacing="1" w:line="240" w:lineRule="auto"/>
      <w:ind w:right="63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4">
    <w:name w:val="td4"/>
    <w:basedOn w:val="a"/>
    <w:rsid w:val="009E05E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E05E7"/>
    <w:pPr>
      <w:spacing w:before="100" w:beforeAutospacing="1" w:after="100" w:afterAutospacing="1" w:line="240" w:lineRule="auto"/>
      <w:ind w:right="-108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td5">
    <w:name w:val="td5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E05E7"/>
    <w:pPr>
      <w:spacing w:before="100" w:beforeAutospacing="1" w:after="100" w:afterAutospacing="1" w:line="240" w:lineRule="auto"/>
      <w:ind w:right="-19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9">
    <w:name w:val="p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6">
    <w:name w:val="td6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E05E7"/>
    <w:pPr>
      <w:spacing w:before="100" w:beforeAutospacing="1" w:after="100" w:afterAutospacing="1" w:line="240" w:lineRule="auto"/>
      <w:ind w:right="6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d7">
    <w:name w:val="td7"/>
    <w:basedOn w:val="a"/>
    <w:rsid w:val="009E05E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E05E7"/>
    <w:pPr>
      <w:spacing w:before="100" w:beforeAutospacing="1" w:after="100" w:afterAutospacing="1" w:line="240" w:lineRule="auto"/>
      <w:ind w:right="-10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2">
    <w:name w:val="p1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3">
    <w:name w:val="p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4">
    <w:name w:val="p14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9E05E7"/>
    <w:pPr>
      <w:spacing w:before="100" w:beforeAutospacing="1" w:after="100" w:afterAutospacing="1" w:line="240" w:lineRule="auto"/>
      <w:ind w:left="5102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6">
    <w:name w:val="p16"/>
    <w:basedOn w:val="a"/>
    <w:rsid w:val="009E05E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d8">
    <w:name w:val="td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9">
    <w:name w:val="td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3">
    <w:name w:val="r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4">
    <w:name w:val="r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0">
    <w:name w:val="td1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1">
    <w:name w:val="td1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2">
    <w:name w:val="td1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5">
    <w:name w:val="r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6">
    <w:name w:val="r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3">
    <w:name w:val="td1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9E05E7"/>
    <w:pPr>
      <w:spacing w:before="100" w:beforeAutospacing="1" w:after="100" w:afterAutospacing="1" w:line="240" w:lineRule="auto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9E05E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9E05E7"/>
    <w:pPr>
      <w:spacing w:before="100" w:beforeAutospacing="1" w:after="100" w:afterAutospacing="1" w:line="240" w:lineRule="auto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2">
    <w:name w:val="d2"/>
    <w:basedOn w:val="a"/>
    <w:rsid w:val="009E05E7"/>
    <w:pPr>
      <w:spacing w:before="1417" w:after="850" w:line="240" w:lineRule="auto"/>
      <w:ind w:left="850" w:righ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4">
    <w:name w:val="td1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5">
    <w:name w:val="td1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6">
    <w:name w:val="td1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7">
    <w:name w:val="td1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8">
    <w:name w:val="td1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19">
    <w:name w:val="td1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">
    <w:name w:val="r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0">
    <w:name w:val="td2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1">
    <w:name w:val="td2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2">
    <w:name w:val="td2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9E05E7"/>
    <w:pPr>
      <w:spacing w:before="100" w:beforeAutospacing="1" w:after="100" w:afterAutospacing="1" w:line="240" w:lineRule="auto"/>
      <w:ind w:left="-1181" w:firstLine="1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">
    <w:name w:val="r8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3">
    <w:name w:val="td2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9E05E7"/>
    <w:pPr>
      <w:spacing w:before="100" w:beforeAutospacing="1" w:after="100" w:afterAutospacing="1" w:line="240" w:lineRule="auto"/>
      <w:ind w:left="-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4">
    <w:name w:val="td2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5">
    <w:name w:val="td2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6">
    <w:name w:val="td2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7">
    <w:name w:val="td27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8">
    <w:name w:val="td28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29">
    <w:name w:val="td29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0">
    <w:name w:val="td30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1">
    <w:name w:val="td31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2">
    <w:name w:val="td32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3">
    <w:name w:val="td33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4">
    <w:name w:val="td3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5">
    <w:name w:val="td3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6">
    <w:name w:val="td3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7">
    <w:name w:val="td3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8">
    <w:name w:val="td3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39">
    <w:name w:val="td3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0">
    <w:name w:val="td4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1">
    <w:name w:val="td4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2">
    <w:name w:val="td4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3">
    <w:name w:val="td4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4">
    <w:name w:val="td4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5">
    <w:name w:val="td4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6">
    <w:name w:val="td4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9">
    <w:name w:val="r9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7">
    <w:name w:val="td4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8">
    <w:name w:val="td4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0">
    <w:name w:val="r10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49">
    <w:name w:val="td4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0">
    <w:name w:val="td5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1">
    <w:name w:val="td5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2">
    <w:name w:val="td5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3">
    <w:name w:val="td5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4">
    <w:name w:val="td5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5">
    <w:name w:val="td5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6">
    <w:name w:val="td5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7">
    <w:name w:val="td5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1">
    <w:name w:val="r11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2">
    <w:name w:val="r12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9E05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6">
    <w:name w:val="p26"/>
    <w:basedOn w:val="a"/>
    <w:rsid w:val="009E05E7"/>
    <w:pPr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8">
    <w:name w:val="td5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59">
    <w:name w:val="td5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9E05E7"/>
    <w:pPr>
      <w:spacing w:before="100" w:beforeAutospacing="1" w:after="100" w:afterAutospacing="1" w:line="240" w:lineRule="auto"/>
      <w:ind w:left="-1246" w:firstLine="1246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0">
    <w:name w:val="td6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1">
    <w:name w:val="td6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2">
    <w:name w:val="td6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3">
    <w:name w:val="td6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4">
    <w:name w:val="td6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3">
    <w:name w:val="r13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9E05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14">
    <w:name w:val="r14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5">
    <w:name w:val="td65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6">
    <w:name w:val="td66"/>
    <w:basedOn w:val="a"/>
    <w:rsid w:val="009E05E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9E05E7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9E05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6">
    <w:name w:val="s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d67">
    <w:name w:val="td6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68">
    <w:name w:val="td6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9E05E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d69">
    <w:name w:val="td69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0">
    <w:name w:val="td70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d71">
    <w:name w:val="td71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2">
    <w:name w:val="td72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5">
    <w:name w:val="r15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6">
    <w:name w:val="r16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7">
    <w:name w:val="r17"/>
    <w:basedOn w:val="a"/>
    <w:rsid w:val="009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3">
    <w:name w:val="td73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4">
    <w:name w:val="td74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5">
    <w:name w:val="td75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6">
    <w:name w:val="td76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7">
    <w:name w:val="td77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78">
    <w:name w:val="td78"/>
    <w:basedOn w:val="a"/>
    <w:rsid w:val="009E05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9E05E7"/>
    <w:rPr>
      <w:b/>
      <w:bCs/>
    </w:rPr>
  </w:style>
  <w:style w:type="character" w:customStyle="1" w:styleId="s21">
    <w:name w:val="s21"/>
    <w:basedOn w:val="a0"/>
    <w:rsid w:val="009E05E7"/>
    <w:rPr>
      <w:color w:val="000000"/>
    </w:rPr>
  </w:style>
  <w:style w:type="character" w:customStyle="1" w:styleId="s31">
    <w:name w:val="s31"/>
    <w:basedOn w:val="a0"/>
    <w:rsid w:val="009E05E7"/>
    <w:rPr>
      <w:rFonts w:ascii="Times New Roman" w:hAnsi="Times New Roman" w:cs="Times New Roman" w:hint="default"/>
      <w:sz w:val="24"/>
      <w:szCs w:val="24"/>
    </w:rPr>
  </w:style>
  <w:style w:type="character" w:customStyle="1" w:styleId="s41">
    <w:name w:val="s41"/>
    <w:basedOn w:val="a0"/>
    <w:rsid w:val="009E05E7"/>
    <w:rPr>
      <w:shd w:val="clear" w:color="auto" w:fill="FFFF00"/>
    </w:rPr>
  </w:style>
  <w:style w:type="character" w:customStyle="1" w:styleId="s51">
    <w:name w:val="s51"/>
    <w:basedOn w:val="a0"/>
    <w:rsid w:val="009E05E7"/>
    <w:rPr>
      <w:rFonts w:ascii="Arial" w:hAnsi="Arial" w:cs="Arial" w:hint="default"/>
      <w:sz w:val="20"/>
      <w:szCs w:val="20"/>
    </w:rPr>
  </w:style>
  <w:style w:type="character" w:customStyle="1" w:styleId="s61">
    <w:name w:val="s61"/>
    <w:basedOn w:val="a0"/>
    <w:rsid w:val="009E05E7"/>
    <w:rPr>
      <w:sz w:val="22"/>
      <w:szCs w:val="22"/>
    </w:rPr>
  </w:style>
  <w:style w:type="character" w:customStyle="1" w:styleId="s71">
    <w:name w:val="s71"/>
    <w:basedOn w:val="a0"/>
    <w:rsid w:val="009E05E7"/>
    <w:rPr>
      <w:b/>
      <w:bCs/>
      <w:color w:val="00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05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05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05E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9E05E7"/>
  </w:style>
  <w:style w:type="paragraph" w:styleId="a5">
    <w:name w:val="Balloon Text"/>
    <w:basedOn w:val="a"/>
    <w:link w:val="a6"/>
    <w:uiPriority w:val="99"/>
    <w:semiHidden/>
    <w:unhideWhenUsed/>
    <w:rsid w:val="009E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5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0B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30B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680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7655">
                          <w:marLeft w:val="850"/>
                          <w:marRight w:val="850"/>
                          <w:marTop w:val="1417"/>
                          <w:marBottom w:val="8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4605">
                          <w:marLeft w:val="1417"/>
                          <w:marRight w:val="850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komecon@adm.bmr.nn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print.xml?uid=0&amp;sk=19b125b9a34ab0be5fdb55f70b3b5539&amp;id=91xc-gowli4nf3pp6hriwi4j6foip13dbx5zcvzvgola3alr0qb9sbrusv2uxj4m683eldb95m2knpdfg2ashgdjg40sra4xevwvhel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2C99-DFB6-45B6-A530-A8672B98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4294385492</TotalTime>
  <Pages>9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Budg1</cp:lastModifiedBy>
  <cp:revision>37</cp:revision>
  <cp:lastPrinted>2016-09-01T06:55:00Z</cp:lastPrinted>
  <dcterms:created xsi:type="dcterms:W3CDTF">2016-07-20T13:35:00Z</dcterms:created>
  <dcterms:modified xsi:type="dcterms:W3CDTF">2016-09-30T08:36:00Z</dcterms:modified>
</cp:coreProperties>
</file>