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9" w:rsidRPr="009E05E7" w:rsidRDefault="008878DE" w:rsidP="002B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FAD8F4" wp14:editId="0561F511">
            <wp:simplePos x="0" y="0"/>
            <wp:positionH relativeFrom="column">
              <wp:posOffset>2978342</wp:posOffset>
            </wp:positionH>
            <wp:positionV relativeFrom="paragraph">
              <wp:posOffset>-33451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8" w:tgtFrame="_blank" w:tooltip="Напечатать" w:history="1">
        <w:r w:rsidR="009E05E7" w:rsidRPr="009E05E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DF30BD" w:rsidRPr="00DF30BD" w:rsidRDefault="00DF30BD" w:rsidP="00DF30BD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5292" wp14:editId="67EC6F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223" wp14:editId="3F64859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№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пассажирского авто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Большемурашкинского муниципального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7-2020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A61719" w:rsidP="00A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(с     изменениями)     администрация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24F3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4F3">
        <w:rPr>
          <w:rFonts w:ascii="Times New Roman" w:hAnsi="Times New Roman" w:cs="Times New Roman"/>
          <w:sz w:val="28"/>
          <w:szCs w:val="28"/>
        </w:rPr>
        <w:t xml:space="preserve">   муниципального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4F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9E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пассажирского автотранспорта на территории Большемурашкинского муниципального района» на 2017 – 2020 годы (далее 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управлению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формировании проекта районного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последующие годы предусматривать средства на реализацию данной Программы с уточнением объемов ее финансирования, исходя из возможностей местного бюджета.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Start w:id="1" w:name="Par38"/>
      <w:bookmarkStart w:id="2" w:name="Par40"/>
      <w:bookmarkEnd w:id="0"/>
      <w:bookmarkEnd w:id="1"/>
      <w:bookmarkEnd w:id="2"/>
      <w:r w:rsidRPr="00FC6E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bookmarkStart w:id="3" w:name="_GoBack"/>
      <w:bookmarkEnd w:id="3"/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 № _____</w:t>
      </w:r>
    </w:p>
    <w:p w:rsidR="00A61719" w:rsidRPr="00FB32D1" w:rsidRDefault="00A61719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1719" w:rsidRDefault="00A61719" w:rsidP="00A61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A61719" w:rsidRPr="00FD24F3" w:rsidRDefault="00A61719" w:rsidP="00A617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пассажирского автотранспорта на территории Большемурашкинского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 (далее – Программа)</w:t>
      </w:r>
    </w:p>
    <w:p w:rsidR="00A61719" w:rsidRPr="00CD3159" w:rsidRDefault="00A61719" w:rsidP="00A617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206"/>
      </w:tblGrid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</w:tc>
      </w:tr>
      <w:tr w:rsidR="00A61719" w:rsidRPr="009E05E7" w:rsidTr="002153A0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F677AC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2F274D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A64EA6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утвержденным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анализ выполненных регулярных перевозок по муниципальным маршрутам.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A61719" w:rsidRPr="009E05E7" w:rsidTr="002153A0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за счет средств районного бюджета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 года будут достигнуты следующие индикаторы и непосредственные результаты Программы: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в общей численности населения района;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количества имеющегося подвижного состава, выходящего на линию;</w:t>
            </w:r>
          </w:p>
        </w:tc>
      </w:tr>
    </w:tbl>
    <w:p w:rsidR="00A61719" w:rsidRPr="00CD315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201"/>
      <w:bookmarkStart w:id="5" w:name="Par203"/>
      <w:bookmarkEnd w:id="4"/>
      <w:bookmarkEnd w:id="5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Текстовая часть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05"/>
      <w:bookmarkEnd w:id="6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полномочиями муниципального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Устойчивое и эффективное функционирование данного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Большемурашкинского муниципального района функционирует пассажирское предприятие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население рабочего посёлка Большое 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Мурашкино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населённых пунктов.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района.</w:t>
      </w:r>
    </w:p>
    <w:p w:rsidR="00A61719" w:rsidRPr="00AF094A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автобусов, из которых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Автобусы получены по областной целевой программе на условиях лизинга при 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районного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автобуса имеют износ более 50 %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1719" w:rsidRPr="00E9475E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должном уровне. Обусловлена эта проблема, прежде всего,  недостаточным пассажиропотоком и, как следствие, убыточностью  пассажирских перевозок. Поэтому была принята вынужденная мера сокращения количества выполняемых рейсов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 автобусным маршрутам.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предприятие обслуживает 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междугородных и 7 пригородных маршрутов.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протяжённость маршрутов составляет 600,4 км, в том числе пригородной маршрутной сети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143,7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Предприятие является убыточным в связи со снижением пассажиропотока, в результате чего наполняемость маршрутов пригородного сообщения составляет в среднем </w:t>
      </w:r>
      <w:r w:rsidRPr="00AF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рейс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25,7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вместимости подвижного состава.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возникающих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E20393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района» на 2017 – 2020 годы.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7" w:name="Par22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A61719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8" w:name="Par237"/>
      <w:bookmarkEnd w:id="8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Pr="0097318C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A61719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перевозок по муниципальным маршрутам.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9" w:name="Par242"/>
      <w:bookmarkStart w:id="10" w:name="Par467"/>
      <w:bookmarkEnd w:id="9"/>
      <w:bookmarkEnd w:id="10"/>
    </w:p>
    <w:p w:rsidR="00A61719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A61719" w:rsidRPr="009E05E7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МУП «</w:t>
      </w:r>
      <w:proofErr w:type="spellStart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ольшем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урашкинское</w:t>
      </w:r>
      <w:proofErr w:type="spellEnd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ПАП», в общей численности населения района;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существующ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одновременным обеспечением круглогодичной транспортной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8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сохранение доли выполнения пассажирских рейсов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количества имеющегося подвижного состава, выходящего на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72"/>
      <w:bookmarkEnd w:id="11"/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505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25"/>
        <w:gridCol w:w="728"/>
        <w:gridCol w:w="49"/>
        <w:gridCol w:w="1510"/>
        <w:gridCol w:w="1390"/>
        <w:gridCol w:w="28"/>
        <w:gridCol w:w="1276"/>
        <w:gridCol w:w="1148"/>
      </w:tblGrid>
      <w:tr w:rsidR="00A61719" w:rsidRPr="009E05E7" w:rsidTr="002153A0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3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результата</w:t>
            </w:r>
          </w:p>
        </w:tc>
      </w:tr>
      <w:tr w:rsidR="00A61719" w:rsidRPr="009E05E7" w:rsidTr="002153A0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61719" w:rsidRPr="009E05E7" w:rsidTr="002153A0">
        <w:tc>
          <w:tcPr>
            <w:tcW w:w="10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486"/>
            <w:bookmarkEnd w:id="12"/>
          </w:p>
        </w:tc>
      </w:tr>
      <w:tr w:rsidR="00A61719" w:rsidRPr="009E05E7" w:rsidTr="002153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«Б-</w:t>
            </w:r>
            <w:proofErr w:type="spellStart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Мурашкинское</w:t>
            </w:r>
            <w:proofErr w:type="spellEnd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ПАП»,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61719" w:rsidRPr="009E05E7" w:rsidTr="002153A0">
        <w:trPr>
          <w:trHeight w:val="19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1719" w:rsidRPr="009E05E7" w:rsidTr="002153A0">
        <w:trPr>
          <w:trHeight w:val="9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719" w:rsidRPr="009E05E7" w:rsidTr="002153A0">
        <w:trPr>
          <w:trHeight w:val="12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-сохранение количества имеющегося подвижного состава, выходящего на линию.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40360B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710"/>
      <w:bookmarkEnd w:id="13"/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A61719" w:rsidRPr="009E05E7" w:rsidRDefault="00A61719" w:rsidP="00A617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984"/>
        <w:gridCol w:w="787"/>
        <w:gridCol w:w="772"/>
        <w:gridCol w:w="709"/>
        <w:gridCol w:w="851"/>
        <w:gridCol w:w="850"/>
      </w:tblGrid>
      <w:tr w:rsidR="00A61719" w:rsidRPr="009E05E7" w:rsidTr="002153A0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61719" w:rsidRPr="009E05E7" w:rsidTr="002153A0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61719" w:rsidRPr="009E05E7" w:rsidTr="002153A0">
        <w:trPr>
          <w:trHeight w:val="40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1719" w:rsidRPr="009E05E7" w:rsidTr="002153A0">
        <w:trPr>
          <w:cantSplit/>
          <w:trHeight w:val="525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</w:tbl>
    <w:p w:rsidR="00A61719" w:rsidRPr="009E05E7" w:rsidRDefault="00A61719" w:rsidP="00A6171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средств из других источников не планируется.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автотранспорта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A61719" w:rsidRPr="00FD24F3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внебюджетного финансирования.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отдельных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Программы. 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A61719" w:rsidSect="00A617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1719" w:rsidRPr="009E05E7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Пожалуйста, подождите</w:t>
      </w:r>
    </w:p>
    <w:p w:rsidR="00A61719" w:rsidRPr="009E05E7" w:rsidRDefault="00A61719" w:rsidP="00A61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1719" w:rsidRPr="00721A5D" w:rsidRDefault="00A61719" w:rsidP="00A617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A61719" w:rsidRPr="00CD3159" w:rsidRDefault="00A61719" w:rsidP="00A6171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1417"/>
        <w:gridCol w:w="1559"/>
        <w:gridCol w:w="1276"/>
        <w:gridCol w:w="992"/>
        <w:gridCol w:w="1134"/>
        <w:gridCol w:w="1134"/>
        <w:gridCol w:w="993"/>
        <w:gridCol w:w="1701"/>
        <w:gridCol w:w="1559"/>
      </w:tblGrid>
      <w:tr w:rsidR="00A61719" w:rsidRPr="000B3E8A" w:rsidTr="00A61719">
        <w:trPr>
          <w:cantSplit/>
          <w:trHeight w:val="24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сацию</w:t>
            </w:r>
            <w:proofErr w:type="spellEnd"/>
            <w:proofErr w:type="gram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по оказанию услуг населению по перевозке пассажирским  транспортом  по тарифам, регулируемым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701946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EA0F3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240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2C312E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 счет местного бюджета- всего 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719" w:rsidRDefault="00A61719" w:rsidP="00A6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</w:p>
    <w:p w:rsidR="00DF30BD" w:rsidRP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30BD" w:rsidRPr="00DF30BD" w:rsidSect="00A6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B21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9C4"/>
    <w:multiLevelType w:val="hybridMultilevel"/>
    <w:tmpl w:val="E0EAF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76F7"/>
    <w:rsid w:val="00027082"/>
    <w:rsid w:val="00036DD2"/>
    <w:rsid w:val="000B3E8A"/>
    <w:rsid w:val="000B51E3"/>
    <w:rsid w:val="000B68F8"/>
    <w:rsid w:val="00113B54"/>
    <w:rsid w:val="001731F5"/>
    <w:rsid w:val="001D693B"/>
    <w:rsid w:val="002159C8"/>
    <w:rsid w:val="002721E8"/>
    <w:rsid w:val="00290903"/>
    <w:rsid w:val="00296314"/>
    <w:rsid w:val="00296FFD"/>
    <w:rsid w:val="002B0E29"/>
    <w:rsid w:val="0040360B"/>
    <w:rsid w:val="004C16E2"/>
    <w:rsid w:val="00505FEC"/>
    <w:rsid w:val="00520984"/>
    <w:rsid w:val="00540E3F"/>
    <w:rsid w:val="00552F39"/>
    <w:rsid w:val="005579C6"/>
    <w:rsid w:val="005A675F"/>
    <w:rsid w:val="005B14D2"/>
    <w:rsid w:val="005B39F3"/>
    <w:rsid w:val="005C0B1C"/>
    <w:rsid w:val="006B1D3F"/>
    <w:rsid w:val="006F6216"/>
    <w:rsid w:val="00701946"/>
    <w:rsid w:val="00721A5D"/>
    <w:rsid w:val="00731FE7"/>
    <w:rsid w:val="00747C68"/>
    <w:rsid w:val="00782793"/>
    <w:rsid w:val="007D469A"/>
    <w:rsid w:val="007F0231"/>
    <w:rsid w:val="00806462"/>
    <w:rsid w:val="00852B71"/>
    <w:rsid w:val="008878DE"/>
    <w:rsid w:val="00902658"/>
    <w:rsid w:val="00970049"/>
    <w:rsid w:val="00997394"/>
    <w:rsid w:val="009A3BF9"/>
    <w:rsid w:val="009B6211"/>
    <w:rsid w:val="009E05E7"/>
    <w:rsid w:val="00A506CF"/>
    <w:rsid w:val="00A55030"/>
    <w:rsid w:val="00A61719"/>
    <w:rsid w:val="00A816B5"/>
    <w:rsid w:val="00A847E4"/>
    <w:rsid w:val="00AA48F2"/>
    <w:rsid w:val="00AF094A"/>
    <w:rsid w:val="00AF64FE"/>
    <w:rsid w:val="00B02226"/>
    <w:rsid w:val="00B1770A"/>
    <w:rsid w:val="00B70A5C"/>
    <w:rsid w:val="00BD1CD9"/>
    <w:rsid w:val="00C10140"/>
    <w:rsid w:val="00C820E3"/>
    <w:rsid w:val="00C85E34"/>
    <w:rsid w:val="00CB41A3"/>
    <w:rsid w:val="00CB4C04"/>
    <w:rsid w:val="00CB5DC8"/>
    <w:rsid w:val="00CD3159"/>
    <w:rsid w:val="00CE0F7A"/>
    <w:rsid w:val="00D10129"/>
    <w:rsid w:val="00D45714"/>
    <w:rsid w:val="00D73C28"/>
    <w:rsid w:val="00D96EA1"/>
    <w:rsid w:val="00DF03D8"/>
    <w:rsid w:val="00DF30BD"/>
    <w:rsid w:val="00E20393"/>
    <w:rsid w:val="00E925BE"/>
    <w:rsid w:val="00E9475E"/>
    <w:rsid w:val="00EA0F3A"/>
    <w:rsid w:val="00F24BB5"/>
    <w:rsid w:val="00F60C2A"/>
    <w:rsid w:val="00F62BC4"/>
    <w:rsid w:val="00F677AC"/>
    <w:rsid w:val="00F7211D"/>
    <w:rsid w:val="00FB6AD5"/>
    <w:rsid w:val="00FD24F3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680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655">
                          <w:marLeft w:val="850"/>
                          <w:marRight w:val="850"/>
                          <w:marTop w:val="1417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605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0&amp;sk=19b125b9a34ab0be5fdb55f70b3b5539&amp;id=91xc-gowli4nf3pp6hriwi4j6foip13dbx5zcvzvgola3alr0qb9sbrusv2uxj4m683eldb95m2knpdfg2ashgdjg40sra4xevwvhel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50BC-3C32-4597-9FEA-518ED4D3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35</cp:revision>
  <cp:lastPrinted>2016-09-01T06:55:00Z</cp:lastPrinted>
  <dcterms:created xsi:type="dcterms:W3CDTF">2016-07-20T13:35:00Z</dcterms:created>
  <dcterms:modified xsi:type="dcterms:W3CDTF">2016-09-01T06:55:00Z</dcterms:modified>
</cp:coreProperties>
</file>