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F6" w:rsidRDefault="008421F6" w:rsidP="00842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-405765</wp:posOffset>
            </wp:positionV>
            <wp:extent cx="553720" cy="6940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21F6" w:rsidRDefault="008421F6" w:rsidP="008421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1F6" w:rsidRDefault="008421F6" w:rsidP="008421F6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4"/>
          <w:lang w:eastAsia="ru-RU"/>
        </w:rPr>
        <w:t>Администрация</w:t>
      </w:r>
    </w:p>
    <w:p w:rsidR="008421F6" w:rsidRDefault="008421F6" w:rsidP="008421F6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 xml:space="preserve">Большемурашкинского муниципального  района </w:t>
      </w:r>
    </w:p>
    <w:p w:rsidR="008421F6" w:rsidRDefault="008421F6" w:rsidP="008421F6">
      <w:pPr>
        <w:spacing w:after="0" w:line="240" w:lineRule="auto"/>
        <w:jc w:val="center"/>
        <w:rPr>
          <w:rFonts w:ascii="Bookman Old Style" w:eastAsia="Calibri" w:hAnsi="Bookman Old Style" w:cs="Times New Roman"/>
          <w:sz w:val="28"/>
        </w:rPr>
      </w:pPr>
      <w:r>
        <w:rPr>
          <w:rFonts w:ascii="Bookman Old Style" w:eastAsia="Calibri" w:hAnsi="Bookman Old Style" w:cs="Times New Roman"/>
          <w:sz w:val="28"/>
        </w:rPr>
        <w:t>Нижегородской области</w:t>
      </w:r>
    </w:p>
    <w:p w:rsidR="008421F6" w:rsidRDefault="008421F6" w:rsidP="008421F6">
      <w:pPr>
        <w:jc w:val="center"/>
        <w:rPr>
          <w:rFonts w:ascii="Calibri" w:eastAsia="Calibri" w:hAnsi="Calibri" w:cs="Times New Roman"/>
        </w:rPr>
      </w:pPr>
      <w:r>
        <w:rPr>
          <w:rFonts w:ascii="Bookman Old Style" w:eastAsia="Calibri" w:hAnsi="Bookman Old Style" w:cs="Times New Roman"/>
          <w:b/>
          <w:sz w:val="48"/>
          <w:szCs w:val="48"/>
        </w:rPr>
        <w:t>ПОСТАНОВЛЕНИЕ</w:t>
      </w:r>
    </w:p>
    <w:p w:rsidR="008421F6" w:rsidRDefault="008421F6" w:rsidP="008421F6">
      <w:pPr>
        <w:shd w:val="clear" w:color="auto" w:fill="FFFFFF"/>
        <w:spacing w:before="298"/>
        <w:ind w:left="-567"/>
        <w:rPr>
          <w:rFonts w:ascii="Calibri" w:eastAsia="Calibri" w:hAnsi="Calibri" w:cs="Times New Roman"/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Dkv3/i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SRTQIAAFg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WpQkk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8421F6" w:rsidRDefault="009D41B0" w:rsidP="008421F6">
      <w:pPr>
        <w:shd w:val="clear" w:color="auto" w:fill="FFFFFF"/>
        <w:spacing w:before="298" w:after="0" w:line="240" w:lineRule="auto"/>
        <w:ind w:left="-567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               </w:t>
      </w:r>
      <w:r w:rsidR="006255D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19.02.2020г.                  19.02.2020        Сл-106-80903/20            </w:t>
      </w:r>
      <w:r w:rsidR="008421F6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№ </w:t>
      </w:r>
      <w:r w:rsidR="006255DB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64</w:t>
      </w:r>
    </w:p>
    <w:p w:rsidR="008421F6" w:rsidRDefault="008421F6" w:rsidP="00842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1F6" w:rsidRDefault="008421F6" w:rsidP="008421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421F6" w:rsidRPr="000B7C47" w:rsidRDefault="008421F6" w:rsidP="00842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7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8421F6" w:rsidRPr="000B7C47" w:rsidRDefault="008421F6" w:rsidP="008421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B7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«Развитие пассажирского автотранспорта на территории Большемурашки</w:t>
      </w:r>
      <w:r w:rsidRPr="000B7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Pr="000B7C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муниципального района на 2017-2020 годы»</w:t>
      </w:r>
    </w:p>
    <w:p w:rsidR="000B7C47" w:rsidRDefault="000B7C47" w:rsidP="00842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7C47" w:rsidRDefault="000B7C47" w:rsidP="00842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1F6" w:rsidRPr="000B7C47" w:rsidRDefault="00684163" w:rsidP="008421F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В целях обеспечения регулярных пассажирских перевозок в Большемурашки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ском муниципальном районе</w:t>
      </w:r>
      <w:r w:rsidR="008421F6" w:rsidRPr="000B7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21F6" w:rsidRPr="000B7C47">
        <w:rPr>
          <w:rFonts w:ascii="Times New Roman" w:eastAsia="Calibri" w:hAnsi="Times New Roman" w:cs="Times New Roman"/>
          <w:sz w:val="28"/>
          <w:szCs w:val="28"/>
        </w:rPr>
        <w:t xml:space="preserve"> администрация   </w:t>
      </w:r>
      <w:r w:rsidR="00B86F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21F6" w:rsidRPr="000B7C47">
        <w:rPr>
          <w:rFonts w:ascii="Times New Roman" w:eastAsia="Calibri" w:hAnsi="Times New Roman" w:cs="Times New Roman"/>
          <w:sz w:val="28"/>
          <w:szCs w:val="28"/>
        </w:rPr>
        <w:t xml:space="preserve">     Большемурашкинского     </w:t>
      </w:r>
      <w:r w:rsidR="00B86F4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421F6" w:rsidRPr="000B7C47">
        <w:rPr>
          <w:rFonts w:ascii="Times New Roman" w:eastAsia="Calibri" w:hAnsi="Times New Roman" w:cs="Times New Roman"/>
          <w:sz w:val="28"/>
          <w:szCs w:val="28"/>
        </w:rPr>
        <w:t xml:space="preserve">    муниципального    </w:t>
      </w:r>
      <w:r w:rsidR="00B86F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421F6" w:rsidRPr="000B7C47">
        <w:rPr>
          <w:rFonts w:ascii="Times New Roman" w:eastAsia="Calibri" w:hAnsi="Times New Roman" w:cs="Times New Roman"/>
          <w:sz w:val="28"/>
          <w:szCs w:val="28"/>
        </w:rPr>
        <w:t xml:space="preserve">    района   </w:t>
      </w:r>
      <w:r w:rsidR="002D0D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421F6" w:rsidRPr="000B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="008421F6" w:rsidRPr="000B7C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т:</w:t>
      </w:r>
    </w:p>
    <w:p w:rsidR="008421F6" w:rsidRPr="000B7C47" w:rsidRDefault="008421F6" w:rsidP="008421F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муниципальную программу «Развитие пассажирского автотранспорта на территории Большемурашкинского муниципального района» на 2017 – 2020 годы (далее – Программа), утвержденную постановлением № 431 от 08.09.2016 г. (с изменениями от 17.01.2017 г. № 18, от 20.02.2017 г. № 85, от 27.03.2017 г. № 145, от 14.04.2017 г. № 182, от 27.04.2017 г. № 204, от 25.07.2017 г. № 356, от 28.12.2017 г. № 626, от 10.08.2018 № 321</w:t>
      </w:r>
      <w:r w:rsidR="009D41B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24.12.2018</w:t>
      </w:r>
      <w:proofErr w:type="gramEnd"/>
      <w:r w:rsidR="009D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9D41B0">
        <w:rPr>
          <w:rFonts w:ascii="Times New Roman" w:eastAsia="Times New Roman" w:hAnsi="Times New Roman" w:cs="Times New Roman"/>
          <w:sz w:val="28"/>
          <w:szCs w:val="28"/>
          <w:lang w:eastAsia="ru-RU"/>
        </w:rPr>
        <w:t>536</w:t>
      </w:r>
      <w:r w:rsidR="00DF68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30.12.2019 № 501</w:t>
      </w:r>
      <w:r w:rsidR="008031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30.01.2020 № 35</w:t>
      </w:r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изложив ее  в новой редакции (прилагается).</w:t>
      </w:r>
      <w:proofErr w:type="gramEnd"/>
    </w:p>
    <w:p w:rsidR="008421F6" w:rsidRPr="000B7C47" w:rsidRDefault="008421F6" w:rsidP="008421F6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главы администрации района  Даранова  Р.Е..</w:t>
      </w:r>
    </w:p>
    <w:p w:rsidR="008421F6" w:rsidRPr="000B7C47" w:rsidRDefault="008421F6" w:rsidP="0084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1F6" w:rsidRPr="000B7C47" w:rsidRDefault="008421F6" w:rsidP="00842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86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                                                               </w:t>
      </w:r>
      <w:proofErr w:type="spellStart"/>
      <w:r w:rsidRPr="000B7C47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Н.А.Беляков</w:t>
      </w:r>
      <w:proofErr w:type="spellEnd"/>
    </w:p>
    <w:p w:rsidR="000B7C47" w:rsidRDefault="000B7C47" w:rsidP="008421F6">
      <w:pPr>
        <w:pStyle w:val="ConsPlusTitle"/>
        <w:ind w:right="-72"/>
        <w:jc w:val="center"/>
        <w:rPr>
          <w:rFonts w:ascii="Times New Roman" w:hAnsi="Times New Roman" w:cs="Times New Roman"/>
          <w:sz w:val="28"/>
          <w:szCs w:val="28"/>
        </w:rPr>
      </w:pPr>
    </w:p>
    <w:p w:rsidR="008421F6" w:rsidRDefault="008421F6" w:rsidP="000B7C47">
      <w:pPr>
        <w:pStyle w:val="ConsPlusTitle"/>
        <w:ind w:right="-72"/>
        <w:rPr>
          <w:rFonts w:ascii="Times New Roman" w:hAnsi="Times New Roman" w:cs="Times New Roman"/>
          <w:b w:val="0"/>
          <w:sz w:val="22"/>
          <w:szCs w:val="22"/>
        </w:rPr>
      </w:pPr>
    </w:p>
    <w:p w:rsidR="00EE6362" w:rsidRPr="00DD1354" w:rsidRDefault="00EE6362" w:rsidP="00EE6362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DD1354">
        <w:rPr>
          <w:rFonts w:ascii="Times New Roman" w:hAnsi="Times New Roman"/>
        </w:rPr>
        <w:t>СОГЛАСОВАНО:</w:t>
      </w:r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  <w:r w:rsidRPr="00DD1354">
        <w:rPr>
          <w:rFonts w:ascii="Times New Roman" w:hAnsi="Times New Roman"/>
        </w:rPr>
        <w:t xml:space="preserve">Председатель комитета </w:t>
      </w:r>
      <w:proofErr w:type="gramStart"/>
      <w:r w:rsidRPr="00DD1354">
        <w:rPr>
          <w:rFonts w:ascii="Times New Roman" w:hAnsi="Times New Roman"/>
        </w:rPr>
        <w:t>по</w:t>
      </w:r>
      <w:proofErr w:type="gramEnd"/>
    </w:p>
    <w:p w:rsidR="00EE6362" w:rsidRDefault="00EE6362" w:rsidP="00EE6362">
      <w:pPr>
        <w:spacing w:after="0" w:line="240" w:lineRule="auto"/>
        <w:rPr>
          <w:rFonts w:ascii="Times New Roman" w:hAnsi="Times New Roman"/>
        </w:rPr>
      </w:pPr>
      <w:r w:rsidRPr="00DD1354">
        <w:rPr>
          <w:rFonts w:ascii="Times New Roman" w:hAnsi="Times New Roman"/>
        </w:rPr>
        <w:t xml:space="preserve">управлению экономикой                                                                          </w:t>
      </w:r>
      <w:proofErr w:type="spellStart"/>
      <w:r w:rsidRPr="00DD1354">
        <w:rPr>
          <w:rFonts w:ascii="Times New Roman" w:hAnsi="Times New Roman"/>
        </w:rPr>
        <w:t>Р.Е.Даранов</w:t>
      </w:r>
      <w:proofErr w:type="spellEnd"/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  <w:r w:rsidRPr="00DD1354">
        <w:rPr>
          <w:rFonts w:ascii="Times New Roman" w:hAnsi="Times New Roman"/>
        </w:rPr>
        <w:t xml:space="preserve">Начальник финансового управления                                                      </w:t>
      </w:r>
      <w:proofErr w:type="spellStart"/>
      <w:r w:rsidRPr="00DD1354">
        <w:rPr>
          <w:rFonts w:ascii="Times New Roman" w:hAnsi="Times New Roman"/>
        </w:rPr>
        <w:t>Н.В.Лобанова</w:t>
      </w:r>
      <w:proofErr w:type="spellEnd"/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DD1354">
        <w:rPr>
          <w:rFonts w:ascii="Times New Roman" w:hAnsi="Times New Roman"/>
        </w:rPr>
        <w:t>правляющ</w:t>
      </w:r>
      <w:r>
        <w:rPr>
          <w:rFonts w:ascii="Times New Roman" w:hAnsi="Times New Roman"/>
        </w:rPr>
        <w:t xml:space="preserve">ий </w:t>
      </w:r>
      <w:r w:rsidRPr="00DD1354">
        <w:rPr>
          <w:rFonts w:ascii="Times New Roman" w:hAnsi="Times New Roman"/>
        </w:rPr>
        <w:t xml:space="preserve">  делами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DD135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И.Д.Садкова</w:t>
      </w:r>
      <w:proofErr w:type="spellEnd"/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  <w:r w:rsidRPr="00DD1354">
        <w:rPr>
          <w:rFonts w:ascii="Times New Roman" w:hAnsi="Times New Roman"/>
        </w:rPr>
        <w:t>Начальник сектора правовой,</w:t>
      </w:r>
    </w:p>
    <w:p w:rsidR="00EE6362" w:rsidRPr="00DD1354" w:rsidRDefault="00EE6362" w:rsidP="00EE6362">
      <w:pPr>
        <w:spacing w:after="0" w:line="240" w:lineRule="auto"/>
        <w:rPr>
          <w:rFonts w:ascii="Times New Roman" w:hAnsi="Times New Roman"/>
        </w:rPr>
      </w:pPr>
      <w:r w:rsidRPr="00DD1354">
        <w:rPr>
          <w:rFonts w:ascii="Times New Roman" w:hAnsi="Times New Roman"/>
        </w:rPr>
        <w:t>организационной, кадровой работы</w:t>
      </w:r>
    </w:p>
    <w:p w:rsidR="00EE6362" w:rsidRPr="00DD1354" w:rsidRDefault="00EE6362" w:rsidP="00EE6362">
      <w:pPr>
        <w:spacing w:after="0" w:line="240" w:lineRule="auto"/>
        <w:jc w:val="both"/>
        <w:rPr>
          <w:rFonts w:ascii="Times New Roman" w:hAnsi="Times New Roman"/>
        </w:rPr>
      </w:pPr>
      <w:r w:rsidRPr="00DD1354">
        <w:rPr>
          <w:rFonts w:ascii="Times New Roman" w:hAnsi="Times New Roman"/>
        </w:rPr>
        <w:t xml:space="preserve">и информационного обеспечения                           </w:t>
      </w:r>
      <w:r>
        <w:rPr>
          <w:rFonts w:ascii="Times New Roman" w:hAnsi="Times New Roman"/>
        </w:rPr>
        <w:t xml:space="preserve">                  </w:t>
      </w:r>
      <w:r w:rsidR="00A35F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</w:t>
      </w:r>
      <w:proofErr w:type="spellStart"/>
      <w:r w:rsidRPr="00DD1354">
        <w:rPr>
          <w:rFonts w:ascii="Times New Roman" w:hAnsi="Times New Roman"/>
        </w:rPr>
        <w:t>Г.М.Лазарева</w:t>
      </w:r>
      <w:proofErr w:type="spellEnd"/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Pr="00FB3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C6E6F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</w:p>
    <w:p w:rsidR="00BD197A" w:rsidRDefault="00BD197A" w:rsidP="00BD197A">
      <w:pPr>
        <w:pStyle w:val="ConsPlusTitle"/>
        <w:ind w:right="-72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C6E6F">
        <w:rPr>
          <w:rFonts w:ascii="Times New Roman" w:hAnsi="Times New Roman" w:cs="Times New Roman"/>
          <w:b w:val="0"/>
          <w:sz w:val="28"/>
          <w:szCs w:val="28"/>
        </w:rPr>
        <w:t>Большемурашкинского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BD197A" w:rsidRDefault="006255DB" w:rsidP="00BD197A">
      <w:pPr>
        <w:pStyle w:val="ConsPlusTitle"/>
        <w:ind w:right="-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19.02.</w:t>
      </w:r>
      <w:r w:rsidR="00B86F4A" w:rsidRPr="00B86F4A">
        <w:rPr>
          <w:rFonts w:ascii="Times New Roman" w:hAnsi="Times New Roman" w:cs="Times New Roman"/>
          <w:b w:val="0"/>
          <w:sz w:val="28"/>
          <w:szCs w:val="28"/>
        </w:rPr>
        <w:t>20</w:t>
      </w:r>
      <w:r w:rsidR="00A35FDA">
        <w:rPr>
          <w:rFonts w:ascii="Times New Roman" w:hAnsi="Times New Roman" w:cs="Times New Roman"/>
          <w:b w:val="0"/>
          <w:sz w:val="28"/>
          <w:szCs w:val="28"/>
        </w:rPr>
        <w:t>20</w:t>
      </w:r>
      <w:r w:rsidR="00B86F4A" w:rsidRPr="00B86F4A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B86F4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86F4A" w:rsidRPr="00B86F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64</w:t>
      </w:r>
      <w:bookmarkStart w:id="0" w:name="_GoBack"/>
      <w:bookmarkEnd w:id="0"/>
    </w:p>
    <w:p w:rsidR="00A35FDA" w:rsidRDefault="00A35FDA" w:rsidP="00BD1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5FDA" w:rsidRDefault="00A35FDA" w:rsidP="00BD1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197A" w:rsidRDefault="00BD197A" w:rsidP="00BD19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 </w:t>
      </w:r>
    </w:p>
    <w:p w:rsidR="00BD197A" w:rsidRDefault="00BD197A" w:rsidP="00BD19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0BD">
        <w:rPr>
          <w:rFonts w:ascii="Times New Roman" w:hAnsi="Times New Roman" w:cs="Times New Roman"/>
          <w:b/>
          <w:bCs/>
          <w:sz w:val="28"/>
          <w:szCs w:val="28"/>
        </w:rPr>
        <w:t>«Развитие пассажирского автотранспорта на территории Большемурашки</w:t>
      </w:r>
      <w:r w:rsidRPr="00DF30BD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F30BD">
        <w:rPr>
          <w:rFonts w:ascii="Times New Roman" w:hAnsi="Times New Roman" w:cs="Times New Roman"/>
          <w:b/>
          <w:bCs/>
          <w:sz w:val="28"/>
          <w:szCs w:val="28"/>
        </w:rPr>
        <w:t xml:space="preserve">ского муниципального района» на 2017 </w:t>
      </w:r>
      <w:r>
        <w:rPr>
          <w:rFonts w:ascii="Times New Roman" w:hAnsi="Times New Roman" w:cs="Times New Roman"/>
          <w:b/>
          <w:bCs/>
          <w:sz w:val="28"/>
          <w:szCs w:val="28"/>
        </w:rPr>
        <w:t>– 2020 годы</w:t>
      </w:r>
      <w:r w:rsidR="00D35B9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D197A" w:rsidRPr="00FD24F3" w:rsidRDefault="00BD197A" w:rsidP="00A5714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новой редакции</w:t>
      </w:r>
      <w:r w:rsidR="00B86F4A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r w:rsidR="00B86F4A" w:rsidRPr="00B86F4A">
        <w:rPr>
          <w:rFonts w:ascii="Times New Roman" w:hAnsi="Times New Roman" w:cs="Times New Roman"/>
          <w:bCs/>
          <w:sz w:val="28"/>
          <w:szCs w:val="28"/>
        </w:rPr>
        <w:t>далее – Программа</w:t>
      </w:r>
      <w:r w:rsidR="00B86F4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D197A" w:rsidRPr="00CD3159" w:rsidRDefault="00BD197A" w:rsidP="00BD197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1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tbl>
      <w:tblPr>
        <w:tblW w:w="97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3"/>
        <w:gridCol w:w="1265"/>
        <w:gridCol w:w="5348"/>
      </w:tblGrid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Большемурашкинского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</w:p>
        </w:tc>
      </w:tr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- координатор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</w:tr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A571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  <w:p w:rsidR="00BD197A" w:rsidRDefault="00BD197A" w:rsidP="00A571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 w:rsidRP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Большемурашкинское</w:t>
            </w:r>
            <w:proofErr w:type="spellEnd"/>
            <w:r w:rsidRPr="004B7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</w:t>
            </w:r>
          </w:p>
          <w:p w:rsidR="00BD197A" w:rsidRPr="009E05E7" w:rsidRDefault="00BD197A" w:rsidP="008037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МУП «Большемурашкинский автобус» </w:t>
            </w:r>
          </w:p>
        </w:tc>
      </w:tr>
      <w:tr w:rsidR="00BD197A" w:rsidRPr="009E05E7" w:rsidTr="003C75C3">
        <w:trPr>
          <w:trHeight w:val="884"/>
        </w:trPr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F677AC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2F274D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населения услугами пассажирского автотран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A64EA6" w:rsidRDefault="00BD197A" w:rsidP="003C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-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предоставления транспортных услуг </w:t>
            </w:r>
          </w:p>
          <w:p w:rsidR="00BD197A" w:rsidRDefault="00BD197A" w:rsidP="003C7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населению и организация транспортного обслуживания нас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64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бесперебойности движения автобусов по утве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95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жденным маршрутам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02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транспортных услуг, учет и ан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 выполненных регулярных перевозок по муниципальным маршрутам.</w:t>
            </w:r>
          </w:p>
        </w:tc>
      </w:tr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2017-2020 годы.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реализуется в один этап </w:t>
            </w:r>
          </w:p>
        </w:tc>
      </w:tr>
      <w:tr w:rsidR="00BD197A" w:rsidRPr="009E05E7" w:rsidTr="003C75C3">
        <w:trPr>
          <w:trHeight w:val="513"/>
        </w:trPr>
        <w:tc>
          <w:tcPr>
            <w:tcW w:w="31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Программы за счет средств районного бюджета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A5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по Программе </w:t>
            </w:r>
            <w:r w:rsidR="002023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32612,46</w:t>
            </w:r>
            <w:r w:rsidR="00816B8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D197A" w:rsidRPr="009E05E7" w:rsidRDefault="00BD197A" w:rsidP="00A5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годам (тыс. руб.)</w:t>
            </w:r>
          </w:p>
        </w:tc>
      </w:tr>
      <w:tr w:rsidR="00BD197A" w:rsidRPr="009E05E7" w:rsidTr="003C75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BD197A" w:rsidRPr="009E05E7" w:rsidTr="003C75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D41B0" w:rsidRDefault="004D2585" w:rsidP="004B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7898,460</w:t>
            </w:r>
          </w:p>
        </w:tc>
      </w:tr>
      <w:tr w:rsidR="00BD197A" w:rsidRPr="009E05E7" w:rsidTr="003C75C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202340" w:rsidRDefault="002D0DA8" w:rsidP="00A173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173DF" w:rsidRPr="0020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02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BD197A" w:rsidRPr="009E05E7" w:rsidTr="003C75C3">
        <w:trPr>
          <w:trHeight w:val="3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202340" w:rsidRDefault="00202340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2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12919,0</w:t>
            </w:r>
            <w:r w:rsidR="00A173DF" w:rsidRPr="0020234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197A" w:rsidRPr="009E05E7" w:rsidTr="003C75C3">
        <w:tc>
          <w:tcPr>
            <w:tcW w:w="3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714D" w:rsidRDefault="00A5714D" w:rsidP="00A5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достижения</w:t>
            </w:r>
          </w:p>
          <w:p w:rsidR="00A5714D" w:rsidRDefault="00A5714D" w:rsidP="00A5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цели и </w:t>
            </w:r>
            <w:r w:rsidR="00BD197A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BD197A" w:rsidRPr="009E05E7" w:rsidRDefault="00BD197A" w:rsidP="00A5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непосредственных результ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66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2020 года будут достигнуты следующие индикаторы </w:t>
            </w:r>
            <w:r w:rsidR="00A57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непосредственные результаты Программы:</w:t>
            </w:r>
          </w:p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Индикаторы: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D197A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потребителей транспортной услуги </w:t>
            </w:r>
            <w:r w:rsidR="00A17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транспортного предприятия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населения района;</w:t>
            </w:r>
          </w:p>
          <w:p w:rsidR="00BD197A" w:rsidRPr="00D10129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3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значимых муниципальных маршрутов регулярных перевозок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E98" w:rsidRDefault="00BD197A" w:rsidP="00FD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31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доли выполнения пассажирских рейсов</w:t>
            </w:r>
            <w:r w:rsidRPr="00D10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A4E98" w:rsidRPr="009E05E7" w:rsidRDefault="00EA4E98" w:rsidP="00A17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 w:rsidRPr="00EA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новых автобусов для обеспечения регулярных перевозок пассажиров и багажа на муниципальных маршрутах.</w:t>
            </w:r>
          </w:p>
        </w:tc>
      </w:tr>
    </w:tbl>
    <w:p w:rsidR="00BD197A" w:rsidRPr="00CD3159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201"/>
      <w:bookmarkStart w:id="2" w:name="Par203"/>
      <w:bookmarkEnd w:id="1"/>
      <w:bookmarkEnd w:id="2"/>
      <w:r w:rsidRPr="00CD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Текстовая часть муниципальной программы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05"/>
      <w:bookmarkEnd w:id="3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Характеристика текущего состояния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транспортной отрасли и ее проблемы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портного обслуживания между поселениями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Большемурашкинского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я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ляется полномочиями муниципального района в соответствии с Федеральным законом от 6 октя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2003 года № 131-ФЗ «Об общих принципах организации местного самоуправления в Росси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Федерации».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Пассажирские перевозки – один из важнейших видов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экономической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 Устойч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 и эффективное функционирование данного вида </w:t>
      </w:r>
      <w:r w:rsidR="0064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димым условием стабилизации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экономики,  уровня жизни населения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</w:t>
      </w:r>
    </w:p>
    <w:p w:rsidR="00BD197A" w:rsidRDefault="00BD197A" w:rsidP="00894BC6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Большемурашкинского муниципального района </w:t>
      </w:r>
      <w:r w:rsidR="002023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2017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вало </w:t>
      </w:r>
      <w:r w:rsidRPr="0011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пассажирское предприятие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ПАП», обслуживающее нас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ление рабочего посёлка Большое Мурашкино и сельских населённых пунктов</w:t>
      </w:r>
      <w:r w:rsidR="0064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01.07.2017 года</w:t>
      </w: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балансе МУП «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Большемурашкинское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ПАП» состо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CC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автотранспортных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средств. 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пассажирских автобусов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эксплуатир</w:t>
      </w:r>
      <w:r w:rsidR="004B76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овались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единиц – ИВЕКО,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ПАЗ. Авт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бусы</w:t>
      </w:r>
      <w:r w:rsidR="004B7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получены по областной целевой программе на условиях лизинга при </w:t>
      </w:r>
      <w:proofErr w:type="spellStart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A816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счёт средств районного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 автобусы имеют максимальный процент износа.</w:t>
      </w:r>
      <w:r w:rsidRPr="00681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для обеспечения </w:t>
      </w:r>
      <w:r w:rsidR="00B3024D" w:rsidRP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предоставления транспортн</w:t>
      </w:r>
      <w:r w:rsid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услуг насел</w:t>
      </w:r>
      <w:r w:rsid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и организации</w:t>
      </w:r>
      <w:r w:rsidR="00B3024D" w:rsidRP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</w:t>
      </w:r>
      <w:r w:rsidR="008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ортного обслуживания населения, а также </w:t>
      </w:r>
      <w:r w:rsidR="00B3024D" w:rsidRPr="00B30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бесперебойности движения автобусов по утвержденным маршрутам</w:t>
      </w:r>
      <w:r w:rsidR="0089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обновление автобусного парка.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улучшения ситуации с обеспечением жителей Большемурашкинского района усл</w:t>
      </w: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  пассажирского автотранспорта в конце 2016 года создано еще одно пассажирское авт</w:t>
      </w: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47A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транспортное   предприятие – МУП  «Большемурашкинский автобус».</w:t>
      </w:r>
      <w:r w:rsidR="0064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июля 2017 года  данное предприятие обеспечивает регулярные перевозки пассажиров и багажа на маршрутах регулярных перевозок в границах Большемурашкинского муниципального района.</w:t>
      </w:r>
    </w:p>
    <w:p w:rsidR="00FD67DB" w:rsidRPr="00AF094A" w:rsidRDefault="00FD67DB" w:rsidP="00FD67D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 транспортному обслуживанию пассажиров осуществляется на основании лицензии и договора об организации и осуществлении регулярных перевозок пассажиров и багажа автомобильным транспортом общего пользования на условиях временного допуска на маршрутах регулярных перевозок в границах района (до 01.07.2020 г.). После истечения указанного срока, регулярные пассажирские перевозки будут осуществляться путем проведения закупочных проц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дур и заключения муниципального контракта.</w:t>
      </w:r>
    </w:p>
    <w:p w:rsidR="00FD67DB" w:rsidRPr="00A47A9B" w:rsidRDefault="00FD67DB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предприятие </w:t>
      </w:r>
      <w:r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обслуживает </w:t>
      </w:r>
      <w:r w:rsidR="006B7958"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междугородных и </w:t>
      </w:r>
      <w:r w:rsidRPr="00646ECC">
        <w:rPr>
          <w:rFonts w:ascii="Times New Roman" w:eastAsia="Times New Roman" w:hAnsi="Times New Roman" w:cs="Times New Roman"/>
          <w:sz w:val="24"/>
          <w:szCs w:val="24"/>
          <w:lang w:eastAsia="ru-RU"/>
        </w:rPr>
        <w:t>7 пригородных</w:t>
      </w:r>
      <w:r w:rsid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внутрим</w:t>
      </w:r>
      <w:r w:rsid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ниципальных</w:t>
      </w:r>
      <w:proofErr w:type="spellEnd"/>
      <w:r w:rsid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6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маршрутов. Общая протяжённость маршрутов составляет </w:t>
      </w:r>
      <w:r w:rsidR="00EA33FF"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586,8</w:t>
      </w:r>
      <w:r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км, в том числе </w:t>
      </w:r>
      <w:r w:rsidR="00646ECC"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муниципальной</w:t>
      </w:r>
      <w:r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маршрутной сети – </w:t>
      </w:r>
      <w:r w:rsidR="00EA33FF"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>130,1</w:t>
      </w:r>
      <w:r w:rsidRPr="006B7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км.</w:t>
      </w:r>
    </w:p>
    <w:p w:rsidR="00BD197A" w:rsidRDefault="002F37FB" w:rsidP="002F37F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существует проблема предоставления транспортных услуг  жителям  ряда сельских населенных пунктов, с которыми автобусное сообщение с районным центром </w:t>
      </w:r>
      <w:proofErr w:type="gramStart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</w:t>
      </w:r>
      <w:proofErr w:type="gramEnd"/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 должном уровне. Обусловлена эта проблема, прежде всего,  недостаточным пассажиропотоком и, как следствие, убыточностью  пассажирских перевозок. </w:t>
      </w:r>
      <w:r w:rsidR="008B4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</w:t>
      </w:r>
      <w:r w:rsidR="00BD197A"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маршруты, связывающие административны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D197A"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и удаленные деревни с небольшим населением, убыточны. 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п</w:t>
      </w:r>
      <w:r w:rsidR="00BD197A"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D197A"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D197A"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сажиропоток не окупает расходов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</w:t>
      </w:r>
      <w:r w:rsidR="00BD197A" w:rsidRPr="0059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</w:t>
      </w:r>
      <w:r w:rsidR="00BD197A"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редприятие 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</w:t>
      </w:r>
      <w:r w:rsidR="00BD197A"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убыточным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197A"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9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D197A"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</w:t>
      </w:r>
      <w:r w:rsidR="00BD197A"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D197A" w:rsidRPr="00AF0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тате наполняемость маршрутов пригородного сообщения составляет в среднем </w:t>
      </w:r>
      <w:r w:rsidR="00BD197A" w:rsidRPr="00E25EC5">
        <w:rPr>
          <w:rFonts w:ascii="Times New Roman" w:eastAsia="Times New Roman" w:hAnsi="Times New Roman" w:cs="Times New Roman"/>
          <w:sz w:val="24"/>
          <w:szCs w:val="24"/>
          <w:lang w:eastAsia="ru-RU"/>
        </w:rPr>
        <w:t>5  пассажиров за рейс или 25,7 %</w:t>
      </w:r>
      <w:r w:rsidR="00BD197A"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вместимости подвижного состава.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себестоимость пассажирских перевозок на фоне государственного регулирования тарифов, недостаточный пассажирооборот приводят к необходимости возмещения убытков, во</w:t>
      </w: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C0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никающих при осуществлении перевозок пассажиров на маршрутах, обеспечивающих социально значимые перевозки, путем субсидирования из средств  местного бюджета.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E20393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сложившейся ситуации в системе пассажирских автотранспортных перевозок муниципального района возможно на основе системного подхода с обеспечением финансирования и использованием организационных мер поддержки, а именно,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реализации муниципальной программы </w:t>
      </w:r>
      <w:r w:rsidRPr="00E2039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пассажирского автотранспорта на территории Большемурашкинского м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2039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района» на 2017 – 2020 годы.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4" w:name="Par228"/>
      <w:bookmarkEnd w:id="4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Цели, задачи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является:</w:t>
      </w:r>
    </w:p>
    <w:p w:rsidR="00BD197A" w:rsidRPr="0097318C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318C">
        <w:rPr>
          <w:rFonts w:ascii="Times New Roman" w:hAnsi="Times New Roman" w:cs="Times New Roman"/>
          <w:sz w:val="24"/>
          <w:szCs w:val="24"/>
        </w:rPr>
        <w:t>-обеспечение населения услугами пассажирского автотранспорта;</w:t>
      </w:r>
    </w:p>
    <w:p w:rsidR="00BD197A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 выполнение основных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97A" w:rsidRPr="0097318C" w:rsidRDefault="00BD197A" w:rsidP="00BD1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5" w:name="Par237"/>
      <w:bookmarkEnd w:id="5"/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предоставления транспортных услуг населению и организация тран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64E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портного обслуживания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97A" w:rsidRPr="0097318C" w:rsidRDefault="00BD197A" w:rsidP="00BD1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бесперебойности движения автобусов по утвержденным маршрутам;</w:t>
      </w:r>
    </w:p>
    <w:p w:rsidR="00BD197A" w:rsidRDefault="00BD197A" w:rsidP="00BD197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A477A">
        <w:t xml:space="preserve"> </w:t>
      </w:r>
      <w:r w:rsidRPr="00D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47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транспортных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 анализ выполненных регулярных пер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31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возок по муниципальным маршрутам.</w:t>
      </w:r>
    </w:p>
    <w:p w:rsidR="00BD197A" w:rsidRPr="009E05E7" w:rsidRDefault="00BD197A" w:rsidP="00BD1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Сроки и этапы реализации муниципальной программы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Программы предусмотрено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2020 годы.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в один этап.</w:t>
      </w:r>
      <w:bookmarkStart w:id="6" w:name="Par242"/>
      <w:bookmarkStart w:id="7" w:name="Par467"/>
      <w:bookmarkEnd w:id="6"/>
      <w:bookmarkEnd w:id="7"/>
    </w:p>
    <w:p w:rsidR="00BD197A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Индикаторы достижения цели и непосредственные результаты</w:t>
      </w:r>
    </w:p>
    <w:p w:rsidR="00BD197A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</w:p>
    <w:p w:rsidR="00BD197A" w:rsidRPr="009E05E7" w:rsidRDefault="00BD197A" w:rsidP="00BD197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F37FB" w:rsidRDefault="00DD51C5" w:rsidP="002F3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F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потребителей транспортной услуги муниципального транспортного предприятия, в общей численности населения района;</w:t>
      </w:r>
    </w:p>
    <w:p w:rsidR="002F37FB" w:rsidRPr="00D10129" w:rsidRDefault="002F37FB" w:rsidP="002F37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значимых муниципальных маршрутов регулярных перевозок</w:t>
      </w:r>
      <w:r w:rsidR="00DD51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районе</w:t>
      </w:r>
      <w:r w:rsidRPr="00D101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FB" w:rsidRDefault="002F37FB" w:rsidP="00DD5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1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t xml:space="preserve"> </w:t>
      </w:r>
      <w:r w:rsidRPr="00E31E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доли выполнения пассажирских рейсов</w:t>
      </w:r>
      <w:r w:rsidRPr="00D1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количестве  выполненных рейсов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37FB" w:rsidRDefault="002F37FB" w:rsidP="002F37F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t xml:space="preserve"> </w:t>
      </w:r>
      <w:r w:rsidRPr="00EA4E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новых автобусов для обеспечения регулярных перевозок пассажиров и багажа на муниципальных маршрутах</w:t>
      </w:r>
      <w:r w:rsidR="00DD51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024D" w:rsidRDefault="00B3024D" w:rsidP="00B3024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1.1.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индикаторах и непосредственных результатах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3544"/>
        <w:gridCol w:w="850"/>
        <w:gridCol w:w="35"/>
        <w:gridCol w:w="1241"/>
        <w:gridCol w:w="1276"/>
        <w:gridCol w:w="1276"/>
        <w:gridCol w:w="1275"/>
      </w:tblGrid>
      <w:tr w:rsidR="00BD197A" w:rsidRPr="009E05E7" w:rsidTr="003C75C3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индикат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ра/непосредственного результата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50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индикатора/ непосредственного р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зультата</w:t>
            </w:r>
          </w:p>
        </w:tc>
      </w:tr>
      <w:tr w:rsidR="00BD197A" w:rsidRPr="009E05E7" w:rsidTr="00202340">
        <w:tc>
          <w:tcPr>
            <w:tcW w:w="7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D197A" w:rsidRPr="009E05E7" w:rsidTr="003C75C3">
        <w:tc>
          <w:tcPr>
            <w:tcW w:w="102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Par486"/>
            <w:bookmarkEnd w:id="8"/>
          </w:p>
        </w:tc>
      </w:tr>
      <w:tr w:rsidR="00BD197A" w:rsidRPr="009E05E7" w:rsidTr="00202340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8B4D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                      - 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r w:rsidR="008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8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транспортного предприятия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общей численности населения района;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Default="00BD197A" w:rsidP="003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F24BB5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D197A" w:rsidRPr="009E05E7" w:rsidTr="00202340">
        <w:trPr>
          <w:trHeight w:val="1928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813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значимых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лярных перевозок</w:t>
            </w:r>
            <w:r w:rsidRPr="00FB6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202340" w:rsidP="00DD5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202340" w:rsidP="00DD5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202340" w:rsidP="00DD5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202340" w:rsidP="00DD51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D197A" w:rsidRPr="009E05E7" w:rsidTr="00202340">
        <w:trPr>
          <w:trHeight w:val="910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3C75C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</w:t>
            </w:r>
            <w:r>
              <w:t xml:space="preserve"> </w:t>
            </w:r>
            <w:r w:rsidRPr="00BC68D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;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5B39F3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D197A" w:rsidRPr="009E05E7" w:rsidTr="00202340">
        <w:trPr>
          <w:trHeight w:val="1235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DD51C5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DD51C5" w:rsidRDefault="00BD197A" w:rsidP="00B3024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-</w:t>
            </w:r>
            <w:r w:rsidR="00B3024D" w:rsidRPr="00DD51C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приобретение новых автобусов для обеспечения </w:t>
            </w:r>
            <w:r w:rsidR="00B3024D"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регулярных п</w:t>
            </w:r>
            <w:r w:rsidR="00B3024D"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3024D"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ревозок пассажиров и багажа на муниципальных маршрутах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DD51C5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DD51C5" w:rsidRDefault="00202340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DD51C5" w:rsidRDefault="00202340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DD51C5" w:rsidRDefault="00202340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40360B" w:rsidRDefault="00B3024D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710"/>
      <w:bookmarkEnd w:id="9"/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Ресурсное обеспечение реализации муниципальной программы</w:t>
      </w: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за счет средств районного бюджета представлено в </w:t>
      </w:r>
      <w:r w:rsidRPr="00C1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p w:rsidR="00BD197A" w:rsidRPr="009E05E7" w:rsidRDefault="00BD197A" w:rsidP="00BD197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</w:p>
    <w:tbl>
      <w:tblPr>
        <w:tblW w:w="10774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064"/>
        <w:gridCol w:w="2639"/>
        <w:gridCol w:w="781"/>
        <w:gridCol w:w="810"/>
        <w:gridCol w:w="708"/>
        <w:gridCol w:w="849"/>
        <w:gridCol w:w="930"/>
      </w:tblGrid>
      <w:tr w:rsidR="00BD197A" w:rsidRPr="009E05E7" w:rsidTr="00684163"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4B76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30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  <w:p w:rsidR="00BD197A" w:rsidRPr="009E05E7" w:rsidRDefault="00BD197A" w:rsidP="003C75C3">
            <w:pPr>
              <w:spacing w:after="0" w:line="240" w:lineRule="auto"/>
              <w:ind w:left="-1247" w:firstLine="12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чик-координатор, сои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полнители</w:t>
            </w:r>
          </w:p>
          <w:p w:rsidR="00A5714D" w:rsidRPr="009E05E7" w:rsidRDefault="00A5714D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BD197A" w:rsidRPr="009E05E7" w:rsidTr="00684163"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D197A" w:rsidRPr="009E05E7" w:rsidTr="00684163">
        <w:trPr>
          <w:trHeight w:val="40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D197A" w:rsidRPr="009E05E7" w:rsidTr="00684163">
        <w:trPr>
          <w:cantSplit/>
          <w:trHeight w:val="408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extDirection w:val="btLr"/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"Развитие пассажирского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Большемурашкинского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2020 годы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администрация района;</w:t>
            </w:r>
          </w:p>
          <w:p w:rsidR="00BD197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разработчик-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комитет по управлению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кой;</w:t>
            </w:r>
          </w:p>
          <w:p w:rsidR="00BD197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:rsidR="00BD197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управление, </w:t>
            </w:r>
          </w:p>
          <w:p w:rsidR="00BD197A" w:rsidRDefault="00816B8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Большемураш-кин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  <w:proofErr w:type="spellEnd"/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</w:t>
            </w:r>
            <w:r w:rsidR="008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01.07.2017)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</w:t>
            </w:r>
            <w:r w:rsidR="00816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 w:rsidR="008B4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01.07.2017)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E05E7" w:rsidRDefault="00BD197A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9D41B0" w:rsidRDefault="00816B83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7898,46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B3024D" w:rsidRDefault="008B4D7B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746E9" w:rsidRPr="00B30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202340" w:rsidRDefault="00202340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12919,0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D197A" w:rsidRPr="008B4D7B" w:rsidRDefault="00202340" w:rsidP="003C75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32612,46</w:t>
            </w:r>
          </w:p>
        </w:tc>
      </w:tr>
    </w:tbl>
    <w:p w:rsidR="00BD197A" w:rsidRDefault="00BD197A" w:rsidP="00E2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6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средств из других источников не планируется.</w:t>
      </w:r>
    </w:p>
    <w:p w:rsidR="00684163" w:rsidRPr="009E05E7" w:rsidRDefault="00684163" w:rsidP="00E25E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9E05E7" w:rsidRDefault="00BD197A" w:rsidP="006841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рисков реализации муниципальной Программы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представляет собой систему мероприятий (взаимоувязанных по задачам, срокам осуществления и ресурсам) и инструментов муниципальной политики, обеспечивающих в рамках реализации функций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целей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пассажирского автотран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Большемурашкинского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района.</w:t>
      </w:r>
    </w:p>
    <w:p w:rsidR="00BD197A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граммы, нерациональному использованию ресурсов, другим негативным последствиям. К таким рискам следует отнести макроэкономические риски, связанные с нестабильностью экономики, в том числе с колебаниями цен на энергоносители. 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Финансовые риски связаны с </w:t>
      </w:r>
      <w:r w:rsidR="00CA76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сокращением количества перевезенных пассажиров и снижен</w:t>
      </w:r>
      <w:r w:rsidR="00CA76C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собственных доходов,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возникновением бюджетного дефицита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этого,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уровнем бюджетного финансирования, </w:t>
      </w:r>
      <w:proofErr w:type="spellStart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секвестированием</w:t>
      </w:r>
      <w:proofErr w:type="spellEnd"/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расходов на тран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ортное обслуживание населения, ч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может повлечь недофинансирование, сокращение или пр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кращение программных мероприятий. Способами ограничения финансовых рисков выступают:</w:t>
      </w:r>
    </w:p>
    <w:p w:rsidR="00BD197A" w:rsidRPr="009E05E7" w:rsidRDefault="00BD197A" w:rsidP="00BD197A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ежегодное уточнение объемов финансовых средств, предусмотренных на реализацию мер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Программы, в зависимости от достигнутых результатов;</w:t>
      </w:r>
    </w:p>
    <w:p w:rsidR="00BD197A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приоритетов для первоочередного финансирования;</w:t>
      </w:r>
    </w:p>
    <w:p w:rsidR="00BD197A" w:rsidRPr="009E05E7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средств </w:t>
      </w:r>
      <w:r w:rsidR="00DD51C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источников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финансирования.</w:t>
      </w:r>
    </w:p>
    <w:p w:rsidR="00BD197A" w:rsidRPr="00FD24F3" w:rsidRDefault="00BD197A" w:rsidP="00BD19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планируемой эффективности муниципальной программы</w:t>
      </w:r>
    </w:p>
    <w:p w:rsidR="00BD197A" w:rsidRPr="009E05E7" w:rsidRDefault="00BD197A" w:rsidP="00BD19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97A" w:rsidRPr="001C2CA3" w:rsidRDefault="00BD197A" w:rsidP="006C6A01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197A" w:rsidRPr="001C2CA3" w:rsidSect="00435BB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Программы определяется путем 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критериев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отдел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их весовых коэффициентов.</w:t>
      </w:r>
      <w:r w:rsidRPr="009E05E7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9E05E7">
        <w:rPr>
          <w:rFonts w:ascii="Times New Roman" w:eastAsia="Times New Roman" w:hAnsi="Times New Roman" w:cs="Times New Roman"/>
          <w:lang w:eastAsia="ru-RU"/>
        </w:rPr>
        <w:t xml:space="preserve">ри 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 их результативность оценивается исходя из соответствия достигнутых результатов поставленной цели значениям цел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E0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индикаторов и показателей Программы. </w:t>
      </w:r>
    </w:p>
    <w:p w:rsidR="00BD197A" w:rsidRPr="009E05E7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Пожалуйста, подождите</w:t>
      </w:r>
    </w:p>
    <w:p w:rsidR="00BD197A" w:rsidRPr="009E05E7" w:rsidRDefault="00BD197A" w:rsidP="00BD19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197A" w:rsidRDefault="00BD197A" w:rsidP="00E25E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</w:t>
      </w:r>
    </w:p>
    <w:p w:rsidR="00E25EC5" w:rsidRPr="00E25EC5" w:rsidRDefault="00E25EC5" w:rsidP="006C6A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197A" w:rsidRPr="009E05E7" w:rsidRDefault="00BD197A" w:rsidP="00BD19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9E05E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BD197A" w:rsidRPr="009E05E7" w:rsidRDefault="00BD197A" w:rsidP="00BD197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E05E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D197A" w:rsidRPr="00721A5D" w:rsidRDefault="00BD197A" w:rsidP="00BD197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909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мероприятий Программы</w:t>
      </w:r>
    </w:p>
    <w:p w:rsidR="00BD197A" w:rsidRPr="00CD3159" w:rsidRDefault="00BD197A" w:rsidP="00BD197A">
      <w:pPr>
        <w:widowControl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CD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Таблица 2</w:t>
      </w:r>
    </w:p>
    <w:tbl>
      <w:tblPr>
        <w:tblW w:w="14671" w:type="dxa"/>
        <w:tblInd w:w="7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276"/>
        <w:gridCol w:w="1134"/>
        <w:gridCol w:w="1629"/>
        <w:gridCol w:w="851"/>
        <w:gridCol w:w="992"/>
        <w:gridCol w:w="850"/>
        <w:gridCol w:w="993"/>
        <w:gridCol w:w="1134"/>
        <w:gridCol w:w="1700"/>
        <w:gridCol w:w="1276"/>
      </w:tblGrid>
      <w:tr w:rsidR="00BD197A" w:rsidRPr="000B3E8A" w:rsidTr="003C75C3">
        <w:trPr>
          <w:cantSplit/>
          <w:trHeight w:val="240"/>
        </w:trPr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0903">
              <w:rPr>
                <w:rFonts w:ascii="Times New Roman" w:eastAsia="Times New Roman" w:hAnsi="Times New Roman" w:cs="Arial"/>
                <w:lang w:eastAsia="ru-RU"/>
              </w:rPr>
              <w:t>Цель, задачи, направления деятельности,</w:t>
            </w:r>
            <w:r w:rsidRPr="000B3E8A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br/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мероприятия  Пр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граммы</w:t>
            </w: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(Подпрограммы)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404E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  рас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ходов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капвло-жения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НИОКР и прочие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расходы) </w:t>
            </w: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исполне-ния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лиза-ции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proofErr w:type="spellStart"/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D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всего, в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бю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жетам  (тыс. руб.)</w:t>
            </w:r>
          </w:p>
        </w:tc>
        <w:tc>
          <w:tcPr>
            <w:tcW w:w="48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ответственные за реализацию меро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приятия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  р</w:t>
            </w:r>
            <w:proofErr w:type="gram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="00D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зультаты</w:t>
            </w:r>
            <w:proofErr w:type="spellEnd"/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(целевые индикат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ры) </w:t>
            </w:r>
          </w:p>
        </w:tc>
      </w:tr>
      <w:tr w:rsidR="00BD197A" w:rsidRPr="000B3E8A" w:rsidTr="003C75C3">
        <w:trPr>
          <w:cantSplit/>
          <w:trHeight w:val="600"/>
        </w:trPr>
        <w:tc>
          <w:tcPr>
            <w:tcW w:w="2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2D4" w:rsidRPr="000B3E8A" w:rsidTr="003C75C3">
        <w:trPr>
          <w:cantSplit/>
          <w:trHeight w:val="336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3C75C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2D4" w:rsidRPr="000B3E8A" w:rsidRDefault="003C75C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3C75C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3C75C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D4" w:rsidRPr="000B3E8A" w:rsidRDefault="003C75C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642D4" w:rsidRPr="000B3E8A" w:rsidTr="003C75C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42D4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действ</w:t>
            </w:r>
            <w:r w:rsidR="001642D4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642D4"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1642D4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642D4" w:rsidRPr="000B3E8A" w:rsidRDefault="001642D4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3C75C3" w:rsidRDefault="001642D4" w:rsidP="001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1642D4" w:rsidRPr="003C75C3" w:rsidRDefault="001642D4" w:rsidP="001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1642D4" w:rsidRPr="003C75C3" w:rsidRDefault="001642D4" w:rsidP="001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2D4" w:rsidRPr="003C75C3" w:rsidRDefault="001642D4" w:rsidP="00164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642D4" w:rsidRPr="003C75C3" w:rsidRDefault="001642D4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Pr="000B3E8A" w:rsidRDefault="001642D4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Pr="000B3E8A" w:rsidRDefault="001642D4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Pr="000B3E8A" w:rsidRDefault="001642D4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Pr="000B3E8A" w:rsidRDefault="001642D4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Default="001642D4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42D4" w:rsidRPr="000B3E8A" w:rsidRDefault="001642D4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1642D4" w:rsidP="0081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экономикой, </w:t>
            </w:r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Pr="00116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2D4" w:rsidRPr="000B3E8A" w:rsidRDefault="001642D4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3C75C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04E" w:rsidRDefault="00D0404E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D197A" w:rsidRPr="00CF0C2F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</w:t>
            </w:r>
            <w:proofErr w:type="gramStart"/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возмещ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затрат в связи с ок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услуг по перево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пассажиров тран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портом общего пользов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маршрутам</w:t>
            </w:r>
            <w:proofErr w:type="gramEnd"/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лярных перевозок в гр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ницах Большемурашки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  <w:r w:rsidR="00D35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«Большему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рашкинский автобус»                    </w:t>
            </w:r>
          </w:p>
          <w:p w:rsidR="00BD197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Pr="000B3E8A" w:rsidRDefault="00D35B92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3FF" w:rsidRDefault="00EA33FF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3088,0</w:t>
            </w:r>
          </w:p>
          <w:p w:rsidR="00BD197A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701946" w:rsidRDefault="00BD197A" w:rsidP="003C7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3FF" w:rsidRDefault="00EA33FF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D197A" w:rsidRPr="009D41B0" w:rsidRDefault="00816B8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33FF" w:rsidRPr="00CA76C3" w:rsidRDefault="00EA33FF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97A" w:rsidRPr="00DF6889" w:rsidRDefault="00CA76C3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</w:t>
            </w:r>
            <w:r w:rsidR="00BD197A" w:rsidRPr="00DF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A33FF" w:rsidRPr="00CA76C3" w:rsidRDefault="00EA33FF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D197A" w:rsidRPr="00CA76C3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CA76C3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A33FF" w:rsidRPr="00CA76C3" w:rsidRDefault="00EA33FF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CA76C3" w:rsidRDefault="00E25EC5" w:rsidP="00DF68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DF6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DF6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EA0F3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FA539C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 прив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дены в таблице 1.1</w:t>
            </w:r>
          </w:p>
        </w:tc>
      </w:tr>
      <w:tr w:rsidR="00BD197A" w:rsidRPr="000B3E8A" w:rsidTr="003C75C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894BC6" w:rsidRDefault="003C75C3" w:rsidP="00552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552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 на компенс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 части затрат (возм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 кредиторской з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долженности)  по оказ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усл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 населению по перевозке пасса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жирским  транспортом на террит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Большемурашки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по тарифам, регулируемым Прав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Нижегоро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области, МУП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Большемураш</w:t>
            </w:r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кинское</w:t>
            </w:r>
            <w:proofErr w:type="spellEnd"/>
            <w:r w:rsidR="00BD197A" w:rsidRPr="00894B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ПАП»</w:t>
            </w:r>
          </w:p>
          <w:p w:rsidR="00BD197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04E" w:rsidRDefault="00D0404E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404E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D19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proofErr w:type="gramStart"/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 в связи с ок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занием услуг по перево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 пассажиров тран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портом общего пользов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 маршрутам рег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лярных перевозок 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Большемура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D197A" w:rsidRPr="00CF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МУП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Большему</w:t>
            </w:r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рашкинское</w:t>
            </w:r>
            <w:proofErr w:type="spellEnd"/>
            <w:r w:rsidR="00BD1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ПАП»   </w:t>
            </w:r>
          </w:p>
          <w:p w:rsidR="00BD197A" w:rsidRPr="00681B4E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D0404E" w:rsidRDefault="00BD197A" w:rsidP="00D0404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Pr="00D0404E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35B92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1836,0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35B92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D35B92" w:rsidRDefault="00D35B92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B92" w:rsidRDefault="00D35B92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B92" w:rsidRDefault="00D35B92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97A" w:rsidRPr="00D35B92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197A"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1836,0</w:t>
            </w: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0404E" w:rsidRPr="00D0404E" w:rsidRDefault="00D0404E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D197A" w:rsidRPr="00D0404E" w:rsidRDefault="00BD197A" w:rsidP="00D0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94BC6" w:rsidRDefault="00894BC6" w:rsidP="00D04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5B92" w:rsidRDefault="00D35B92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197A" w:rsidRPr="00D0404E" w:rsidRDefault="00BD197A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40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EA0F3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управление,</w:t>
            </w:r>
          </w:p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97A" w:rsidRPr="000B3E8A" w:rsidTr="003C75C3">
        <w:trPr>
          <w:cantSplit/>
          <w:trHeight w:val="2304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9E05E7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E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по оптимизации маршрутной сети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721A5D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97A" w:rsidRPr="000B3E8A" w:rsidRDefault="00BD197A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81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управлению экономикой, </w:t>
            </w:r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«Бол</w:t>
            </w:r>
            <w:proofErr w:type="gramStart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шемурашкин-ский</w:t>
            </w:r>
            <w:proofErr w:type="spellEnd"/>
            <w:r w:rsidRPr="00681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автобус»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97A" w:rsidRPr="000B3E8A" w:rsidRDefault="00BD197A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889" w:rsidRPr="000B3E8A" w:rsidTr="003C75C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889" w:rsidRPr="00552EDD" w:rsidRDefault="00552EDD" w:rsidP="0055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="00DF6889" w:rsidRPr="005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новых  </w:t>
            </w:r>
            <w:r w:rsidR="0013446B" w:rsidRPr="005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автобусов для обеспеч</w:t>
            </w:r>
            <w:r w:rsidR="0013446B" w:rsidRPr="005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446B" w:rsidRPr="005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регулярных пасс</w:t>
            </w:r>
            <w:r w:rsidR="0013446B" w:rsidRPr="005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446B" w:rsidRPr="00552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жирских перевозок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муниципальных маршр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889" w:rsidRDefault="00DF6889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6889" w:rsidRDefault="00DF6889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889" w:rsidRPr="00721A5D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DF6889" w:rsidRPr="00721A5D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DF6889" w:rsidRPr="00721A5D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889" w:rsidRPr="00721A5D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F6889" w:rsidRDefault="00DF6889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  <w:p w:rsidR="00894BC6" w:rsidRPr="000B3E8A" w:rsidRDefault="00894BC6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DF6889" w:rsidRPr="00DF6889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6015</w:t>
            </w:r>
            <w:r w:rsidR="00DF6889" w:rsidRPr="00DF68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889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6889" w:rsidRPr="00DF6889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6015</w:t>
            </w:r>
            <w:r w:rsidR="00DF6889" w:rsidRPr="00DF68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889" w:rsidRPr="00DF6889" w:rsidRDefault="00DF6889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экономикой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889" w:rsidRPr="000B3E8A" w:rsidRDefault="00DF6889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46B" w:rsidRPr="000B3E8A" w:rsidTr="003C75C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6B" w:rsidRPr="003C75C3" w:rsidRDefault="00552EDD" w:rsidP="00813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.Заключение муниц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контракта  в р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зультате </w:t>
            </w:r>
            <w:r w:rsidR="0013446B"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  <w:r w:rsidR="00813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почных  процедур 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регуля</w:t>
            </w:r>
            <w:r w:rsidR="0013446B"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рных пер</w:t>
            </w:r>
            <w:r w:rsidR="0013446B"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3446B"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возок пассажиров и баг</w:t>
            </w:r>
            <w:r w:rsidR="0013446B"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3446B"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 автомобильным транспортом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маршрутах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6B" w:rsidRPr="003C75C3" w:rsidRDefault="0013446B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46B" w:rsidRPr="003C75C3" w:rsidRDefault="00552EDD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EDD" w:rsidRPr="003C75C3" w:rsidRDefault="00552EDD" w:rsidP="005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местный</w:t>
            </w:r>
          </w:p>
          <w:p w:rsidR="00552EDD" w:rsidRPr="003C75C3" w:rsidRDefault="00552EDD" w:rsidP="005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</w:t>
            </w:r>
          </w:p>
          <w:p w:rsidR="00552EDD" w:rsidRPr="003C75C3" w:rsidRDefault="00552EDD" w:rsidP="005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proofErr w:type="spellEnd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2EDD" w:rsidRPr="003C75C3" w:rsidRDefault="00552EDD" w:rsidP="005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внебюдж.ф</w:t>
            </w:r>
            <w:proofErr w:type="spellEnd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2EDD" w:rsidRPr="003C75C3" w:rsidRDefault="00552EDD" w:rsidP="0055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-прочие ист.</w:t>
            </w:r>
          </w:p>
          <w:p w:rsidR="0013446B" w:rsidRPr="003C75C3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46B" w:rsidRPr="003C75C3" w:rsidRDefault="0013446B" w:rsidP="0055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82" w:rsidRDefault="00C95A82" w:rsidP="0055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552E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446B" w:rsidRPr="003C75C3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A82" w:rsidRDefault="00C95A82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6B" w:rsidRPr="003C75C3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6B" w:rsidRPr="003C75C3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3904,0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46B" w:rsidRPr="003C75C3" w:rsidRDefault="0013446B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52EDD" w:rsidRPr="003C75C3" w:rsidRDefault="00552EDD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3904,0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6B" w:rsidRDefault="00552EDD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Адмииистра-ция</w:t>
            </w:r>
            <w:proofErr w:type="spellEnd"/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</w:t>
            </w:r>
          </w:p>
          <w:p w:rsidR="003C75C3" w:rsidRPr="003C75C3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2EDD" w:rsidRPr="00DF6889" w:rsidRDefault="00552EDD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5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 экономикой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46B" w:rsidRPr="000B3E8A" w:rsidRDefault="0013446B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5C3" w:rsidRPr="000B3E8A" w:rsidTr="003C75C3">
        <w:trPr>
          <w:cantSplit/>
          <w:trHeight w:val="60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C3" w:rsidRPr="003C75C3" w:rsidRDefault="003C75C3" w:rsidP="0055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C3" w:rsidRPr="003C75C3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75C3" w:rsidRPr="003C75C3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C3" w:rsidRPr="003C75C3" w:rsidRDefault="003C75C3" w:rsidP="00552E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5C3" w:rsidRPr="003C75C3" w:rsidRDefault="003C75C3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C75C3" w:rsidRPr="003C75C3" w:rsidRDefault="003C75C3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7898,46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5C3" w:rsidRPr="003C75C3" w:rsidRDefault="003C75C3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5C3" w:rsidRPr="003C75C3" w:rsidRDefault="003C75C3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12919,0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75C3" w:rsidRPr="003C75C3" w:rsidRDefault="003C75C3" w:rsidP="00D35B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32612,46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C3" w:rsidRPr="003C75C3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5C3" w:rsidRPr="000B3E8A" w:rsidRDefault="003C75C3" w:rsidP="003C75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889" w:rsidRPr="000B3E8A" w:rsidTr="003C75C3">
        <w:trPr>
          <w:cantSplit/>
          <w:trHeight w:val="240"/>
        </w:trPr>
        <w:tc>
          <w:tcPr>
            <w:tcW w:w="146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889" w:rsidRPr="00FA539C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6889" w:rsidRPr="00FA539C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 по Программе </w:t>
            </w:r>
            <w:r w:rsidRPr="00DF68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– </w:t>
            </w:r>
            <w:r w:rsidR="00D35B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32612</w:t>
            </w:r>
            <w:r w:rsidRPr="00DF68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A5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тыс. руб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в т. ч. по годам: в 2017 г. – </w:t>
            </w:r>
            <w:r w:rsidRPr="00FA5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5000,0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2018 г. – </w:t>
            </w:r>
            <w:r w:rsidRPr="00FA5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7898,460</w:t>
            </w:r>
            <w:r w:rsidRPr="00FA53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2019 г. – </w:t>
            </w:r>
            <w:r w:rsidRPr="00FA53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6795,0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2020 г.- </w:t>
            </w:r>
            <w:r w:rsidR="00D35B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12919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,0 </w:t>
            </w:r>
            <w:r w:rsidRPr="00FA5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руб., в т. ч. за счет средств местного бюджета -  </w:t>
            </w:r>
            <w:r w:rsidRPr="00DF68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– </w:t>
            </w:r>
            <w:r w:rsidR="00D35B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32612</w:t>
            </w:r>
            <w:r w:rsidRPr="00DF6889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,46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всего тыс. руб.,: в т. ч. в 2017 г. – </w:t>
            </w:r>
            <w:r w:rsidRPr="00FA5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5000,0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2018 г. – </w:t>
            </w:r>
            <w:r w:rsidRPr="00FA53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7898,460</w:t>
            </w:r>
            <w:proofErr w:type="gramEnd"/>
            <w:r w:rsidRPr="00FA53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тыс. руб., в 2019 г. – </w:t>
            </w:r>
            <w:r w:rsidRPr="00FA539C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6795,0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руб., в 2020 г.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D35B92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12919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,0 </w:t>
            </w:r>
            <w:r w:rsidRPr="00FA53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  <w:proofErr w:type="gramEnd"/>
          </w:p>
          <w:p w:rsidR="00DF6889" w:rsidRPr="00FA539C" w:rsidRDefault="00DF6889" w:rsidP="003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84D7E" w:rsidRDefault="00284D7E" w:rsidP="00A5714D">
      <w:bookmarkStart w:id="10" w:name="Par30"/>
      <w:bookmarkStart w:id="11" w:name="Par38"/>
      <w:bookmarkStart w:id="12" w:name="Par40"/>
      <w:bookmarkEnd w:id="10"/>
      <w:bookmarkEnd w:id="11"/>
      <w:bookmarkEnd w:id="12"/>
    </w:p>
    <w:sectPr w:rsidR="00284D7E" w:rsidSect="006C6A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15" w:rsidRDefault="00DB1415" w:rsidP="008421F6">
      <w:pPr>
        <w:spacing w:after="0" w:line="240" w:lineRule="auto"/>
      </w:pPr>
      <w:r>
        <w:separator/>
      </w:r>
    </w:p>
  </w:endnote>
  <w:endnote w:type="continuationSeparator" w:id="0">
    <w:p w:rsidR="00DB1415" w:rsidRDefault="00DB1415" w:rsidP="0084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15" w:rsidRDefault="00DB1415" w:rsidP="008421F6">
      <w:pPr>
        <w:spacing w:after="0" w:line="240" w:lineRule="auto"/>
      </w:pPr>
      <w:r>
        <w:separator/>
      </w:r>
    </w:p>
  </w:footnote>
  <w:footnote w:type="continuationSeparator" w:id="0">
    <w:p w:rsidR="00DB1415" w:rsidRDefault="00DB1415" w:rsidP="0084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4FC2"/>
    <w:multiLevelType w:val="hybridMultilevel"/>
    <w:tmpl w:val="4582E322"/>
    <w:lvl w:ilvl="0" w:tplc="7D22E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71E6B"/>
    <w:multiLevelType w:val="hybridMultilevel"/>
    <w:tmpl w:val="92E263CA"/>
    <w:lvl w:ilvl="0" w:tplc="CF7C5F1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7A2"/>
    <w:multiLevelType w:val="hybridMultilevel"/>
    <w:tmpl w:val="2D66EE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6E"/>
    <w:rsid w:val="000A1AB7"/>
    <w:rsid w:val="000A5C3B"/>
    <w:rsid w:val="000B7C47"/>
    <w:rsid w:val="0013446B"/>
    <w:rsid w:val="001642D4"/>
    <w:rsid w:val="00186CE7"/>
    <w:rsid w:val="00200A7F"/>
    <w:rsid w:val="00202340"/>
    <w:rsid w:val="002107D2"/>
    <w:rsid w:val="00284D7E"/>
    <w:rsid w:val="002D0DA8"/>
    <w:rsid w:val="002F37FB"/>
    <w:rsid w:val="00326028"/>
    <w:rsid w:val="003C75C3"/>
    <w:rsid w:val="003F16E2"/>
    <w:rsid w:val="00435BB3"/>
    <w:rsid w:val="004B31D8"/>
    <w:rsid w:val="004B7688"/>
    <w:rsid w:val="004D2585"/>
    <w:rsid w:val="00552EDD"/>
    <w:rsid w:val="005D5FB8"/>
    <w:rsid w:val="006064E8"/>
    <w:rsid w:val="00614544"/>
    <w:rsid w:val="006255DB"/>
    <w:rsid w:val="00646ECC"/>
    <w:rsid w:val="00684163"/>
    <w:rsid w:val="006B7958"/>
    <w:rsid w:val="006C6A01"/>
    <w:rsid w:val="00803164"/>
    <w:rsid w:val="00803756"/>
    <w:rsid w:val="00813D4E"/>
    <w:rsid w:val="00816B83"/>
    <w:rsid w:val="008421F6"/>
    <w:rsid w:val="00894BC6"/>
    <w:rsid w:val="008A54DF"/>
    <w:rsid w:val="008B4D7B"/>
    <w:rsid w:val="00956A00"/>
    <w:rsid w:val="009D41B0"/>
    <w:rsid w:val="009F1E54"/>
    <w:rsid w:val="009F6104"/>
    <w:rsid w:val="00A173DF"/>
    <w:rsid w:val="00A35FDA"/>
    <w:rsid w:val="00A5714D"/>
    <w:rsid w:val="00AB6DEE"/>
    <w:rsid w:val="00B3024D"/>
    <w:rsid w:val="00B41262"/>
    <w:rsid w:val="00B417A3"/>
    <w:rsid w:val="00B86F4A"/>
    <w:rsid w:val="00BD197A"/>
    <w:rsid w:val="00C02BD6"/>
    <w:rsid w:val="00C66C75"/>
    <w:rsid w:val="00C746E9"/>
    <w:rsid w:val="00C95A82"/>
    <w:rsid w:val="00CA76C3"/>
    <w:rsid w:val="00CB00BF"/>
    <w:rsid w:val="00D0404E"/>
    <w:rsid w:val="00D103CB"/>
    <w:rsid w:val="00D12975"/>
    <w:rsid w:val="00D20312"/>
    <w:rsid w:val="00D35B92"/>
    <w:rsid w:val="00D57502"/>
    <w:rsid w:val="00DA63E2"/>
    <w:rsid w:val="00DB1415"/>
    <w:rsid w:val="00DB7E4D"/>
    <w:rsid w:val="00DD51C5"/>
    <w:rsid w:val="00DF6889"/>
    <w:rsid w:val="00E25EC5"/>
    <w:rsid w:val="00EA33FF"/>
    <w:rsid w:val="00EA4E98"/>
    <w:rsid w:val="00EE3A26"/>
    <w:rsid w:val="00EE6362"/>
    <w:rsid w:val="00F91B31"/>
    <w:rsid w:val="00FA539C"/>
    <w:rsid w:val="00FD67DB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197A"/>
    <w:pPr>
      <w:ind w:left="720"/>
      <w:contextualSpacing/>
    </w:pPr>
  </w:style>
  <w:style w:type="paragraph" w:styleId="a4">
    <w:name w:val="Title"/>
    <w:basedOn w:val="a"/>
    <w:link w:val="a5"/>
    <w:qFormat/>
    <w:rsid w:val="00CB00B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0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1F6"/>
  </w:style>
  <w:style w:type="paragraph" w:styleId="aa">
    <w:name w:val="footer"/>
    <w:basedOn w:val="a"/>
    <w:link w:val="ab"/>
    <w:uiPriority w:val="99"/>
    <w:unhideWhenUsed/>
    <w:rsid w:val="0084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1F6"/>
  </w:style>
  <w:style w:type="character" w:styleId="ac">
    <w:name w:val="line number"/>
    <w:basedOn w:val="a0"/>
    <w:uiPriority w:val="99"/>
    <w:semiHidden/>
    <w:unhideWhenUsed/>
    <w:rsid w:val="00552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D19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197A"/>
    <w:pPr>
      <w:ind w:left="720"/>
      <w:contextualSpacing/>
    </w:pPr>
  </w:style>
  <w:style w:type="paragraph" w:styleId="a4">
    <w:name w:val="Title"/>
    <w:basedOn w:val="a"/>
    <w:link w:val="a5"/>
    <w:qFormat/>
    <w:rsid w:val="00CB00BF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CB00B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50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4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21F6"/>
  </w:style>
  <w:style w:type="paragraph" w:styleId="aa">
    <w:name w:val="footer"/>
    <w:basedOn w:val="a"/>
    <w:link w:val="ab"/>
    <w:uiPriority w:val="99"/>
    <w:unhideWhenUsed/>
    <w:rsid w:val="00842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21F6"/>
  </w:style>
  <w:style w:type="character" w:styleId="ac">
    <w:name w:val="line number"/>
    <w:basedOn w:val="a0"/>
    <w:uiPriority w:val="99"/>
    <w:semiHidden/>
    <w:unhideWhenUsed/>
    <w:rsid w:val="0055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91C94-DAC4-4DEC-B5B9-1A067C7E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9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Kozlova_IV</cp:lastModifiedBy>
  <cp:revision>46</cp:revision>
  <cp:lastPrinted>2020-02-14T10:13:00Z</cp:lastPrinted>
  <dcterms:created xsi:type="dcterms:W3CDTF">2017-12-28T13:04:00Z</dcterms:created>
  <dcterms:modified xsi:type="dcterms:W3CDTF">2020-02-19T06:52:00Z</dcterms:modified>
</cp:coreProperties>
</file>