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BF" w:rsidRDefault="00CB00BF" w:rsidP="00CB00BF">
      <w:pPr>
        <w:pStyle w:val="a4"/>
        <w:jc w:val="righ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2F3F5E" wp14:editId="599EC486">
            <wp:simplePos x="0" y="0"/>
            <wp:positionH relativeFrom="column">
              <wp:posOffset>3070429</wp:posOffset>
            </wp:positionH>
            <wp:positionV relativeFrom="paragraph">
              <wp:posOffset>-320352</wp:posOffset>
            </wp:positionV>
            <wp:extent cx="553827" cy="694062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7" cy="69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</w:t>
      </w:r>
    </w:p>
    <w:p w:rsidR="00CB00BF" w:rsidRPr="00FA5F48" w:rsidRDefault="00CB00BF" w:rsidP="00CB00BF">
      <w:pPr>
        <w:pStyle w:val="a4"/>
        <w:jc w:val="right"/>
        <w:rPr>
          <w:rFonts w:ascii="Times New Roman" w:hAnsi="Times New Roman"/>
          <w:sz w:val="24"/>
        </w:rPr>
      </w:pPr>
    </w:p>
    <w:p w:rsidR="00CB00BF" w:rsidRPr="008D1160" w:rsidRDefault="00CB00BF" w:rsidP="00CB00BF">
      <w:pPr>
        <w:pStyle w:val="a4"/>
      </w:pPr>
    </w:p>
    <w:p w:rsidR="00CB00BF" w:rsidRDefault="00CB00BF" w:rsidP="00CB00BF">
      <w:pPr>
        <w:pStyle w:val="a4"/>
      </w:pPr>
      <w:r>
        <w:t>Администрация</w:t>
      </w:r>
    </w:p>
    <w:p w:rsidR="00CB00BF" w:rsidRDefault="00CB00BF" w:rsidP="00CB00B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CB00BF" w:rsidRDefault="00CB00BF" w:rsidP="00CB00B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B00BF" w:rsidRDefault="00CB00BF" w:rsidP="00CB00BF">
      <w:pPr>
        <w:jc w:val="center"/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B00BF" w:rsidRDefault="00CB00BF" w:rsidP="00CB00B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4130" r="2476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0A1AB7" w:rsidRPr="00DF30BD" w:rsidRDefault="000A1AB7" w:rsidP="000A1AB7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28.12.2017г.                                                        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626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0A1AB7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AB7" w:rsidRPr="00DF30BD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AB7" w:rsidRPr="00CB00BF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0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0A1AB7" w:rsidRPr="00CB00BF" w:rsidRDefault="000A1AB7" w:rsidP="000A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0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пассажирского автотранспорта на территории Большемурашкинского муниципального района на 2017-2020 годы»</w:t>
      </w:r>
    </w:p>
    <w:p w:rsidR="000A1AB7" w:rsidRPr="00CB00BF" w:rsidRDefault="000A1AB7" w:rsidP="000A1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BF" w:rsidRDefault="000A1AB7" w:rsidP="000A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        В соответствии с решениями Земского собрания Большемурашкинского муниципального района от 26.12.2017г. № 82 «О районном бюджете на 2017 год и на плановый период 2018 года и 2019 годов», от 14.12.2017 г. № 75 «О районном бюджете на 2018 год и на плановый период 2019 и 2020 годов» администрация          Большемурашкинского         муниципального        района   </w:t>
      </w:r>
    </w:p>
    <w:p w:rsidR="000A1AB7" w:rsidRPr="00CB00BF" w:rsidRDefault="000A1AB7" w:rsidP="000A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B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D57502" w:rsidRDefault="000A1AB7" w:rsidP="000A1AB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«Развитие пассажирского автотранспорта на территории Большемурашкинского муниципального района» на 2017 – 2020 годы (далее – Программа), утвержденную постановлением № 431 от 08.09.2016 г. (с изменениями от 17.01.2017 г. № 18, от 20.02.2017 г. № 85, от 27.03.2017 г. № 145, от 14.04.2017 г. № 182, от 27.04.2017 г. </w:t>
      </w:r>
      <w:proofErr w:type="gramEnd"/>
    </w:p>
    <w:p w:rsidR="000A1AB7" w:rsidRPr="00CB00BF" w:rsidRDefault="000A1AB7" w:rsidP="00D5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204, от 25.07.2017 г. № 356), изложив текст  Программы  в новой редакции (прилагается).</w:t>
      </w:r>
      <w:proofErr w:type="gramEnd"/>
    </w:p>
    <w:p w:rsidR="000A1AB7" w:rsidRPr="00CB00BF" w:rsidRDefault="000A1AB7" w:rsidP="000A1AB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 </w:t>
      </w:r>
      <w:proofErr w:type="spell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Даранова</w:t>
      </w:r>
      <w:proofErr w:type="spellEnd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Р.Е.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AB7" w:rsidRPr="00CB00BF" w:rsidRDefault="000A1AB7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B7" w:rsidRPr="00CB00BF" w:rsidRDefault="000A1AB7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            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</w:p>
    <w:p w:rsidR="00BD197A" w:rsidRPr="00CB00BF" w:rsidRDefault="00BD197A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02" w:rsidRDefault="00D57502" w:rsidP="00D57502">
      <w:pPr>
        <w:tabs>
          <w:tab w:val="left" w:pos="1080"/>
        </w:tabs>
      </w:pPr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>Начальни</w:t>
      </w:r>
      <w:r>
        <w:rPr>
          <w:rFonts w:ascii="Times New Roman" w:hAnsi="Times New Roman" w:cs="Times New Roman"/>
          <w:sz w:val="18"/>
          <w:szCs w:val="18"/>
        </w:rPr>
        <w:t xml:space="preserve">к финансового управления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Н.В.Лобанова</w:t>
      </w:r>
      <w:proofErr w:type="spellEnd"/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Pr="00D57502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57502">
        <w:rPr>
          <w:rFonts w:ascii="Times New Roman" w:hAnsi="Times New Roman" w:cs="Times New Roman"/>
          <w:sz w:val="18"/>
          <w:szCs w:val="18"/>
        </w:rPr>
        <w:t>лавы</w:t>
      </w:r>
      <w:proofErr w:type="spellEnd"/>
      <w:r w:rsidRPr="00D57502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 w:rsidRPr="00D5750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D57502" w:rsidRPr="00D57502" w:rsidRDefault="00D57502" w:rsidP="00D575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7502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 w:rsidRPr="00D57502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D57502" w:rsidRPr="00D57502" w:rsidRDefault="00D57502" w:rsidP="00D575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197A" w:rsidRPr="00D57502" w:rsidRDefault="00BD197A" w:rsidP="00D575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97A" w:rsidRPr="00D57502" w:rsidRDefault="00BD197A" w:rsidP="00D575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sz w:val="28"/>
          <w:szCs w:val="28"/>
        </w:rPr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09.09.2016 г.   №  431</w:t>
      </w: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 от</w:t>
      </w:r>
      <w:r w:rsidRPr="000E0218">
        <w:t xml:space="preserve"> </w:t>
      </w:r>
      <w:r w:rsidRPr="000E02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86FEB">
        <w:rPr>
          <w:rFonts w:ascii="Times New Roman" w:hAnsi="Times New Roman" w:cs="Times New Roman"/>
          <w:b w:val="0"/>
          <w:sz w:val="28"/>
          <w:szCs w:val="28"/>
        </w:rPr>
        <w:t>28.12.2017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FEB">
        <w:rPr>
          <w:rFonts w:ascii="Times New Roman" w:hAnsi="Times New Roman" w:cs="Times New Roman"/>
          <w:b w:val="0"/>
          <w:sz w:val="28"/>
          <w:szCs w:val="28"/>
        </w:rPr>
        <w:t>г. №  626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197A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197A" w:rsidRPr="00FB32D1" w:rsidRDefault="00BD197A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197A" w:rsidRDefault="00BD197A" w:rsidP="00BD1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BD197A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пассажирского автотранспорта на территории Большемурашкинского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</w:t>
      </w:r>
    </w:p>
    <w:p w:rsidR="00BD197A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Программа) в новой редакции</w:t>
      </w:r>
    </w:p>
    <w:p w:rsidR="00BD197A" w:rsidRPr="00FD24F3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97A" w:rsidRPr="00CD3159" w:rsidRDefault="00BD197A" w:rsidP="00BD19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348"/>
      </w:tblGrid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BD197A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 (по согласованию)</w:t>
            </w:r>
          </w:p>
        </w:tc>
      </w:tr>
      <w:tr w:rsidR="00BD197A" w:rsidRPr="009E05E7" w:rsidTr="002211BE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F677AC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2F274D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A64EA6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BD197A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утвержденным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анализ выполненных регулярных перевозок по муниципальным маршрутам.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BD197A" w:rsidRPr="009E05E7" w:rsidTr="002211BE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за счет средств районного бюджета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BD197A" w:rsidRPr="009E05E7" w:rsidTr="002211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BD197A" w:rsidRPr="009E05E7" w:rsidTr="002211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D197A" w:rsidRPr="009E05E7" w:rsidTr="002211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D197A" w:rsidRPr="009E05E7" w:rsidTr="002211BE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D197A" w:rsidRPr="009E05E7" w:rsidTr="002211BE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 года будут достигнуты следующие индикаторы и непосредственные результаты Программы:</w:t>
            </w:r>
          </w:p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97A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и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 района;</w:t>
            </w:r>
          </w:p>
          <w:p w:rsidR="00BD197A" w:rsidRPr="00D10129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транспортных предприятиях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  <w:p w:rsidR="00BD197A" w:rsidRPr="00D10129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транспортных предприятиях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имеющегося подвижно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состава, выходящего на линию.</w:t>
            </w:r>
          </w:p>
          <w:p w:rsidR="00BD197A" w:rsidRPr="009E05E7" w:rsidRDefault="00BD197A" w:rsidP="0022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97A" w:rsidRPr="00CD3159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01"/>
      <w:bookmarkStart w:id="1" w:name="Par203"/>
      <w:bookmarkEnd w:id="0"/>
      <w:bookmarkEnd w:id="1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Текстовая часть муниципальной программы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05"/>
      <w:bookmarkEnd w:id="2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полномочиями муниципального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Устойчивое и эффективное функционирование данного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Большемурашкинского муниципального района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овало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пассажирское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население рабочего посёлка Большое 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Мурашкино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населённых пунктов.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автотранспортных средств.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эксплуатируются,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Автобусы получены по областной целевой программе на условиях лизинга при 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районного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автобусы имеют максимальный процент износа.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AF094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должном уровне. Обусловлена эта проблема, прежде всего,  недостаточным пассажиропотоком и, как следствие, убыточностью  пассажирских перевозок. Поэтому была принята вынужденная мера сокращения количества выполняемых рейсов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 автобусным маршрутам.</w:t>
      </w:r>
    </w:p>
    <w:p w:rsidR="00BD197A" w:rsidRPr="00A47A9B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ситуации с обеспечением жителей Большемурашкинского района услугами  пассажирского автотранспорта в конце 2016 года создано еще одно пассажирское автотранспортное   предприятие – МУП  «</w:t>
      </w:r>
      <w:proofErr w:type="spellStart"/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Большемурашкинский</w:t>
      </w:r>
      <w:proofErr w:type="spellEnd"/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автобус».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предприятие обслуживает 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междугородных и 7 пригородных маршрутов.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протяжённость маршрутов составляет 600,4 км, в том числе пригородной маршрутной сети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143,7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маршруты, связывающие административны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 удаленные деревни с небольшим населением, убыточны.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ассажиропоток не окупает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убыточным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наполняемость маршрутов пригородного сообщения составляет в среднем </w:t>
      </w:r>
      <w:r w:rsidRPr="00AF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рейс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25,7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вместимости подвижного состава.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возникающих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E20393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района» на 2017 – 2020 годы.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3" w:name="Par2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BD197A" w:rsidRPr="0097318C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BD197A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97318C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4" w:name="Par237"/>
      <w:bookmarkEnd w:id="4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7A" w:rsidRPr="0097318C" w:rsidRDefault="00BD197A" w:rsidP="00BD1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BD197A" w:rsidRDefault="00BD197A" w:rsidP="00BD1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перевозок по муниципальным маршрутам.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5" w:name="Par242"/>
      <w:bookmarkStart w:id="6" w:name="Par467"/>
      <w:bookmarkEnd w:id="5"/>
      <w:bookmarkEnd w:id="6"/>
    </w:p>
    <w:p w:rsidR="00BD197A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BD197A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BD197A" w:rsidRPr="009E05E7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97A" w:rsidRPr="009E05E7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МУП «</w:t>
      </w:r>
      <w:proofErr w:type="spellStart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ольшем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урашкинское</w:t>
      </w:r>
      <w:proofErr w:type="spellEnd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Большемурашкинский</w:t>
      </w:r>
      <w:proofErr w:type="spellEnd"/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автобус»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общей численности населения района;</w:t>
      </w:r>
    </w:p>
    <w:p w:rsidR="00BD197A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транспортных предприятиях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одновременным обеспечением круглогодичной транспортной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7A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8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сохранение доли выполнения пассажирских рейсов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BD197A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транспортных предприятиях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имеющегося подвижного состава, выходящего на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72"/>
      <w:bookmarkEnd w:id="7"/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850"/>
        <w:gridCol w:w="35"/>
        <w:gridCol w:w="1241"/>
        <w:gridCol w:w="1276"/>
        <w:gridCol w:w="1417"/>
        <w:gridCol w:w="1134"/>
      </w:tblGrid>
      <w:tr w:rsidR="00BD197A" w:rsidRPr="009E05E7" w:rsidTr="002211BE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результата</w:t>
            </w:r>
          </w:p>
        </w:tc>
      </w:tr>
      <w:tr w:rsidR="00BD197A" w:rsidRPr="009E05E7" w:rsidTr="002211BE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D197A" w:rsidRPr="009E05E7" w:rsidTr="002211BE">
        <w:tc>
          <w:tcPr>
            <w:tcW w:w="10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486"/>
            <w:bookmarkEnd w:id="8"/>
          </w:p>
        </w:tc>
      </w:tr>
      <w:tr w:rsidR="00BD197A" w:rsidRPr="009E05E7" w:rsidTr="002211B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урашкинское</w:t>
            </w:r>
            <w:proofErr w:type="spellEnd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автобус»,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197A" w:rsidRPr="009E05E7" w:rsidTr="002211BE">
        <w:trPr>
          <w:trHeight w:val="192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транспортных предприятиях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197A" w:rsidRPr="009E05E7" w:rsidTr="002211BE">
        <w:trPr>
          <w:trHeight w:val="91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197A" w:rsidRPr="009E05E7" w:rsidTr="002211BE">
        <w:trPr>
          <w:trHeight w:val="12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транспортных 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количества имеющегося подвижного состава, выходящего на линию.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40360B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10"/>
      <w:bookmarkEnd w:id="9"/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BD197A" w:rsidRPr="009E05E7" w:rsidRDefault="00BD197A" w:rsidP="00BD19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787"/>
        <w:gridCol w:w="772"/>
        <w:gridCol w:w="709"/>
        <w:gridCol w:w="851"/>
        <w:gridCol w:w="850"/>
      </w:tblGrid>
      <w:tr w:rsidR="00BD197A" w:rsidRPr="009E05E7" w:rsidTr="002211BE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BD197A" w:rsidRPr="009E05E7" w:rsidRDefault="00BD197A" w:rsidP="002211BE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D197A" w:rsidRPr="009E05E7" w:rsidTr="002211BE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D197A" w:rsidRPr="009E05E7" w:rsidTr="002211BE">
        <w:trPr>
          <w:trHeight w:val="4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D197A" w:rsidRPr="009E05E7" w:rsidTr="002211BE">
        <w:trPr>
          <w:cantSplit/>
          <w:trHeight w:val="40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комитет по управлению экономикой;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Большемурашкин-ское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</w:p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221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</w:tr>
    </w:tbl>
    <w:p w:rsidR="00BD197A" w:rsidRPr="009E05E7" w:rsidRDefault="00BD197A" w:rsidP="00BD197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других источников не планируется.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автотранспорта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D197A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BD197A" w:rsidRPr="009E05E7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внебюджетного финансирования.</w:t>
      </w:r>
    </w:p>
    <w:p w:rsidR="00BD197A" w:rsidRPr="00FD24F3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отдельных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Программы. </w:t>
      </w:r>
    </w:p>
    <w:p w:rsidR="00BD197A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1C2CA3" w:rsidRDefault="00BD197A" w:rsidP="00BD19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97A" w:rsidRPr="001C2CA3" w:rsidSect="007D23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197A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D197A" w:rsidRPr="009E05E7" w:rsidRDefault="00BD197A" w:rsidP="00BD19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197A" w:rsidRPr="000E0218" w:rsidRDefault="00BD197A" w:rsidP="00BD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BD197A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BD197A" w:rsidRPr="009E05E7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D197A" w:rsidRPr="009E05E7" w:rsidRDefault="00BD197A" w:rsidP="00BD19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197A" w:rsidRPr="00721A5D" w:rsidRDefault="00BD197A" w:rsidP="00BD197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BD197A" w:rsidRPr="00CD3159" w:rsidRDefault="00BD197A" w:rsidP="00BD197A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4671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629"/>
        <w:gridCol w:w="992"/>
        <w:gridCol w:w="851"/>
        <w:gridCol w:w="850"/>
        <w:gridCol w:w="851"/>
        <w:gridCol w:w="993"/>
        <w:gridCol w:w="1700"/>
        <w:gridCol w:w="1559"/>
      </w:tblGrid>
      <w:tr w:rsidR="00BD197A" w:rsidRPr="000B3E8A" w:rsidTr="002211BE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CF0C2F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в связи с оказанием услуг по перевозкам пассажиров транспортом общего пользования по маршрутам</w:t>
            </w:r>
            <w:proofErr w:type="gramEnd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регулярных перевозок в границах Большемурашкинского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                    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297F65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3088</w:t>
            </w: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D197A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701946" w:rsidRDefault="00BD197A" w:rsidP="0022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297F65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2088</w:t>
            </w: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EA0F3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 части затрат (</w:t>
            </w:r>
            <w:r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кредиторской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оказанию услуг </w:t>
            </w:r>
            <w:proofErr w:type="spellStart"/>
            <w:proofErr w:type="gram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перевозке пасса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Большемурашкинского района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тарифам, регулируемым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Нижегородской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Большемураш-кинское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ПАП»</w:t>
            </w:r>
          </w:p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97A" w:rsidRPr="00681B4E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2а.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proofErr w:type="gramStart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в связи с оказанием услуг по перевозкам пассажиров транспортом общего пользования по маршрутам регулярных перевозок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Большемурашкинского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681B4E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297F65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1836,0</w:t>
            </w: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CF0C2F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1836,0</w:t>
            </w: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297F65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EA0F3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9E05E7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 </w:t>
            </w:r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22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2211BE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197A" w:rsidRPr="002C312E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386F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 счет местного бюджета- всего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386F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197A" w:rsidRPr="000B3E8A" w:rsidRDefault="00BD197A" w:rsidP="0022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97A" w:rsidRDefault="00BD197A" w:rsidP="00BD1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97A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  <w:bookmarkStart w:id="10" w:name="_GoBack"/>
      <w:bookmarkEnd w:id="10"/>
    </w:p>
    <w:p w:rsidR="00BD197A" w:rsidRPr="00DF30BD" w:rsidRDefault="00BD197A" w:rsidP="00BD19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197A" w:rsidRDefault="00BD197A" w:rsidP="000A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7E" w:rsidRDefault="00284D7E" w:rsidP="000A1AB7">
      <w:bookmarkStart w:id="11" w:name="Par30"/>
      <w:bookmarkStart w:id="12" w:name="Par38"/>
      <w:bookmarkStart w:id="13" w:name="Par40"/>
      <w:bookmarkEnd w:id="11"/>
      <w:bookmarkEnd w:id="12"/>
      <w:bookmarkEnd w:id="13"/>
    </w:p>
    <w:sectPr w:rsidR="0028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E6B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6E"/>
    <w:rsid w:val="000A1AB7"/>
    <w:rsid w:val="00284D7E"/>
    <w:rsid w:val="00BD197A"/>
    <w:rsid w:val="00CB00BF"/>
    <w:rsid w:val="00D57502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197A"/>
    <w:pPr>
      <w:ind w:left="720"/>
      <w:contextualSpacing/>
    </w:pPr>
  </w:style>
  <w:style w:type="paragraph" w:styleId="a4">
    <w:name w:val="Title"/>
    <w:basedOn w:val="a"/>
    <w:link w:val="a5"/>
    <w:qFormat/>
    <w:rsid w:val="00CB00B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0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197A"/>
    <w:pPr>
      <w:ind w:left="720"/>
      <w:contextualSpacing/>
    </w:pPr>
  </w:style>
  <w:style w:type="paragraph" w:styleId="a4">
    <w:name w:val="Title"/>
    <w:basedOn w:val="a"/>
    <w:link w:val="a5"/>
    <w:qFormat/>
    <w:rsid w:val="00CB00B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0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7</cp:revision>
  <cp:lastPrinted>2017-12-29T08:03:00Z</cp:lastPrinted>
  <dcterms:created xsi:type="dcterms:W3CDTF">2017-12-28T13:04:00Z</dcterms:created>
  <dcterms:modified xsi:type="dcterms:W3CDTF">2017-12-29T08:04:00Z</dcterms:modified>
</cp:coreProperties>
</file>